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14:08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introdução"/>
      <w:r>
        <w:rPr>
          <w:sz w:val="112"/>
          <w:szCs w:val="112"/>
        </w:rPr>
        <w:t xml:space="preserve">1</w:t>
      </w:r>
      <w:r>
        <w:tab/>
      </w:r>
      <w:r>
        <w:t xml:space="preserve">Introdução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casos-de-teste"/>
      <w:r>
        <w:rPr>
          <w:sz w:val="112"/>
          <w:szCs w:val="112"/>
        </w:rPr>
        <w:t xml:space="preserve">2</w:t>
      </w:r>
      <w:r>
        <w:tab/>
      </w:r>
      <w:r>
        <w:t xml:space="preserve">Casos de Teste</w:t>
      </w:r>
      <w:bookmarkEnd w:id="104"/>
    </w:p>
    <w:p>
      <w:pPr>
        <w:pStyle w:val="Heading2"/>
      </w:pPr>
      <w:bookmarkStart w:id="105" w:name="arquitetura-da-plataforma"/>
      <w:r>
        <w:t xml:space="preserve">2.1</w:t>
      </w:r>
      <w:r>
        <w:t xml:space="preserve"> Arquitetura da Plataforma</w:t>
      </w:r>
      <w:bookmarkEnd w:id="105"/>
    </w:p>
    <w:p>
      <w:pPr>
        <w:pStyle w:val="BodyText"/>
      </w:pPr>
      <w:r>
        <w:rPr>
          <w:bCs/>
          <w:b/>
        </w:rPr>
        <w:t xml:space="preserve">Caso de Teste 1:</w:t>
      </w:r>
      <w:r>
        <w:t xml:space="preserve"> </w:t>
      </w:r>
      <w:r>
        <w:t xml:space="preserve">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Aplicação da infraestrutura Terraform concluída com sucesso. 2. ID do cluster MRS disponível na saída do Terraform. 3.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3.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FirstParagraph"/>
      </w:pPr>
      <w:r>
        <w:rPr>
          <w:bCs/>
          <w:b/>
        </w:rPr>
        <w:t xml:space="preserve">Caso de Teste 2:</w:t>
      </w:r>
      <w:r>
        <w:t xml:space="preserve"> </w:t>
      </w:r>
      <w:r>
        <w:t xml:space="preserve">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Nome do bucket OBS definido na configuração Terraform. 2.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2. O carregamento do arquivo conclui sem erro. 3. O conteúdo do arquivo baixado corresponde ao original. 4.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FirstParagraph"/>
      </w:pPr>
      <w:r>
        <w:rPr>
          <w:bCs/>
          <w:b/>
        </w:rPr>
        <w:t xml:space="preserve">Caso de Teste 3:</w:t>
      </w:r>
      <w:r>
        <w:t xml:space="preserve"> </w:t>
      </w:r>
      <w:r>
        <w:t xml:space="preserve">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IDs da VPC e da sub-rede disponíveis na saída do Terraform. 2.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2.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3. Regras de entrada correspondem à arquitetura: TCP 22 e TCP 443 das origens especificadas. 4.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pPr>
        <w:pStyle w:val="Heading2"/>
      </w:pPr>
      <w:bookmarkStart w:id="106" w:name="engenharia-de-dados"/>
      <w:r>
        <w:t xml:space="preserve">2.2</w:t>
      </w:r>
      <w:r>
        <w:t xml:space="preserve"> Engenharia de Dados</w:t>
      </w:r>
      <w:bookmarkEnd w:id="106"/>
    </w:p>
    <w:p>
      <w:pPr>
        <w:pStyle w:val="FirstParagraph"/>
      </w:pPr>
      <w:r>
        <w:rPr>
          <w:bCs/>
          <w:b/>
        </w:rPr>
        <w:t xml:space="preserve">Caso de Teste 4:</w:t>
      </w:r>
      <w:r>
        <w:t xml:space="preserve"> </w:t>
      </w:r>
      <w:r>
        <w:t xml:space="preserve">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workspace está listado e acessível. 2. O console do DataArts Studio abre sem erros. 3.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FirstParagraph"/>
      </w:pPr>
      <w:r>
        <w:rPr>
          <w:bCs/>
          <w:b/>
        </w:rPr>
        <w:t xml:space="preserve">Caso de Teste 5:</w:t>
      </w:r>
      <w:r>
        <w:t xml:space="preserve"> </w:t>
      </w:r>
      <w:r>
        <w:t xml:space="preserve">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Arquivo CSV de origem (</w:t>
      </w:r>
      <w:r>
        <w:rPr>
          <w:rStyle w:val="VerbatimChar"/>
        </w:rPr>
        <w:t xml:space="preserve">customers.csv</w:t>
      </w:r>
      <w:r>
        <w:t xml:space="preserve">) existe no bucket OBS raw. 3.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4.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2. O arquivo de saída é criado no caminho OBS de destino. 3.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FirstParagraph"/>
      </w:pPr>
      <w:r>
        <w:rPr>
          <w:bCs/>
          <w:b/>
        </w:rPr>
        <w:t xml:space="preserve">Caso de Teste 6:</w:t>
      </w:r>
      <w:r>
        <w:t xml:space="preserve"> </w:t>
      </w:r>
      <w:r>
        <w:t xml:space="preserve">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1 concluído (cluster MRS saudável). 2.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3.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</w:t>
      </w:r>
      <w:r>
        <w:t xml:space="preserve"> </w:t>
      </w:r>
      <w:r>
        <w:rPr>
          <w:rStyle w:val="VerbatimChar"/>
        </w:rPr>
        <w:t xml:space="preserve">spark-sql –master yarn --conf spark.sql.hive.convertMetastoreOrc=true -e "SELECT COUNT(*) FROM poc_db.customers;"</w:t>
      </w:r>
      <w:r>
        <w:t xml:space="preserve"> </w:t>
      </w:r>
      <w:r>
        <w:t xml:space="preserve">3. Verificar se a contagem retornada corresponde ao esperado (10.000) 4. Executar uma consulta de amostra para verificar a integridade dos dados:</w:t>
      </w:r>
      <w:r>
        <w:t xml:space="preserve"> </w:t>
      </w:r>
      <w:r>
        <w:rPr>
          <w:rStyle w:val="VerbatimChar"/>
        </w:rPr>
        <w:t xml:space="preserve">spark-sql –master yarn -e "SELECT customer_id, name FROM poc_db.customers LIMIT 5;"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2.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pPr>
        <w:pStyle w:val="Heading2"/>
      </w:pPr>
      <w:bookmarkStart w:id="107" w:name="segurança-e-controle-de-acesso"/>
      <w:r>
        <w:t xml:space="preserve">2.3</w:t>
      </w:r>
      <w:r>
        <w:t xml:space="preserve"> Segurança e Controle de Acesso</w:t>
      </w:r>
      <w:bookmarkEnd w:id="107"/>
    </w:p>
    <w:p>
      <w:pPr>
        <w:pStyle w:val="FirstParagraph"/>
      </w:pPr>
      <w:r>
        <w:rPr>
          <w:bCs/>
          <w:b/>
        </w:rPr>
        <w:t xml:space="preserve">Caso de Teste 7:</w:t>
      </w:r>
      <w:r>
        <w:t xml:space="preserve"> </w:t>
      </w:r>
      <w:r>
        <w:t xml:space="preserve">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2.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Usuário autorizado consegue carregar e baixar com sucesso. 2. Usuário não autorizado recebe HTTP 403 nas operações de carregamento e listagem. 3.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FirstParagraph"/>
      </w:pPr>
      <w:r>
        <w:rPr>
          <w:bCs/>
          <w:b/>
        </w:rPr>
        <w:t xml:space="preserve">Caso de Teste 8:</w:t>
      </w:r>
      <w:r>
        <w:t xml:space="preserve"> </w:t>
      </w:r>
      <w:r>
        <w:t xml:space="preserve">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3.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2.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3.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pPr>
        <w:pStyle w:val="Heading2"/>
      </w:pPr>
      <w:bookmarkStart w:id="108" w:name="configuração-de-ambiente-e-ferramentas"/>
      <w:r>
        <w:t xml:space="preserve">2.4</w:t>
      </w:r>
      <w:r>
        <w:t xml:space="preserve"> Configuração de Ambiente e Ferramentas</w:t>
      </w:r>
      <w:bookmarkEnd w:id="108"/>
    </w:p>
    <w:p>
      <w:pPr>
        <w:pStyle w:val="FirstParagraph"/>
      </w:pPr>
      <w:r>
        <w:rPr>
          <w:bCs/>
          <w:b/>
        </w:rPr>
        <w:t xml:space="preserve">Caso de Teste 9:</w:t>
      </w:r>
      <w:r>
        <w:t xml:space="preserve"> </w:t>
      </w:r>
      <w:r>
        <w:t xml:space="preserve">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2.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3.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2. Todos os valores de saída estão preenchidos (ID do cluster, nome do bucket, ID da VPC). 3.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Caso de Teste 10:</w:t>
      </w:r>
      <w:r>
        <w:t xml:space="preserve"> </w:t>
      </w:r>
      <w:r>
        <w:t xml:space="preserve">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2 concluído (bucket OBS acessível). 2.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Todos os arquivos de dados de teste são carregados sem erros. 2. A listagem do bucket mostra todos os arquivos carregados com tamanhos corretos. 3. O checksum do arquivo baixado corresponde ao original local. 4.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conclusão"/>
      <w:r>
        <w:rPr>
          <w:sz w:val="112"/>
          <w:szCs w:val="112"/>
        </w:rPr>
        <w:t xml:space="preserve">3</w:t>
      </w:r>
      <w:r>
        <w:tab/>
      </w:r>
      <w:r>
        <w:t xml:space="preserve">Conclusão</w:t>
      </w:r>
      <w:bookmarkEnd w:id="109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10" w:name="sec-changelog"/>
      <w:r>
        <w:rPr>
          <w:sz w:val="112"/>
          <w:szCs w:val="112"/>
        </w:rPr>
        <w:t xml:space="preserve">4</w:t>
      </w:r>
      <w:r>
        <w:tab/>
      </w:r>
      <w:r>
        <w:t xml:space="preserve">Histórico de versões</w:t>
      </w:r>
      <w:bookmarkEnd w:id="110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Reestruturação do documento para layout de 3 seções: Introdução, Casos de Teste (com subseções por domínio) e Conclusão (com tabela de resumo dos testes).</w:t>
      </w:r>
    </w:p>
    <w:p>
      <w:pPr>
        <w:pStyle w:val="BodyText"/>
      </w:pPr>
      <w:r>
        <w:t xml:space="preserve">Remoção dos prefixos manuais TC-XXX dos títulos dos casos de teste — o ambiente os numera automaticamente como "Caso de Teste 1:", "Caso de Teste 2:", etc.</w:t>
      </w:r>
    </w:p>
    <w:p>
      <w:pPr>
        <w:pStyle w:val="BodyText"/>
      </w:pPr>
      <w:r>
        <w:t xml:space="preserve">Atualização dos IDs do testsummary de TC-XXX para numeração automática 1–10.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Acesso.</w:t>
      </w:r>
    </w:p>
    <w:p>
      <w:pPr>
        <w:pStyle w:val="BodyText"/>
      </w:pPr>
      <w:r>
        <w:t xml:space="preserve">Adicionados casos de teste de Configuração do Ambiente e Ferramentas.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Plataforma.</w:t>
      </w:r>
    </w:p>
    <w:p>
      <w:pPr>
        <w:pStyle w:val="BodyText"/>
      </w:pPr>
      <w:r>
        <w:t xml:space="preserve">Adicionados casos de teste de Engenharia de Dados.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2026-09-13T17:08:27Z</dcterms:created>
  <dcterms:modified xsi:type="dcterms:W3CDTF">2026-09-13T17:08:27Z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