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POC Test Cases — Data Platform Validation</w:t>
      </w:r>
    </w:p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v2.1.0 — 2026-09-13 11:50</w:t>
      </w:r>
    </w:p>
    <w:p>
      <w:r>
        <w:br w:type="page"/>
      </w:r>
    </w:p>
    <w:p>
      <w:pPr>
        <w:pStyle w:val="TOCTitle"/>
      </w:pPr>
      <w:r>
        <w:t xml:space="preserve">Contents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</w:t>
            </w:r>
          </w:p>
          <w:p>
            <w:pPr>
              <w:pStyle w:val="BodyText"/>
            </w:pPr>
            <w:r>
              <w:t xml:space="preserve">This document demonstrates the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template (</w:t>
            </w:r>
            <w:r>
              <w:rPr>
                <w:rStyle w:val="VerbatimChar"/>
              </w:rPr>
              <w:t xml:space="preserve">testbook.cls</w:t>
            </w:r>
            <w:r>
              <w:t xml:space="preserve">) for</w:t>
            </w:r>
            <w:r>
              <w:t xml:space="preserve"> </w:t>
            </w:r>
            <w:r>
              <w:t xml:space="preserve">Huawei Cloud POC/acceptance test case documents. It exercises all available</w:t>
            </w:r>
            <w:r>
              <w:t xml:space="preserve"> </w:t>
            </w:r>
            <w:r>
              <w:t xml:space="preserve">commands and environments: cover page, table of contents, test case environment</w:t>
            </w:r>
            <w:r>
              <w:t xml:space="preserve"> </w:t>
            </w:r>
            <w:r>
              <w:t xml:space="preserve">with all field commands, mini header bars, testprocedure environment with</w:t>
            </w:r>
            <w:r>
              <w:t xml:space="preserve"> </w:t>
            </w:r>
            <w:r>
              <w:t xml:space="preserve">step-by-step actions, objectives block, code blocks, images, callouts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tables, badge,</w:t>
            </w:r>
            <w:r>
              <w:t xml:space="preserve"> </w:t>
            </w:r>
            <w:r>
              <w:t xml:space="preserve">menu paths, weblinks, notes, param references, test summary table,</w:t>
            </w:r>
            <w:r>
              <w:t xml:space="preserve"> </w:t>
            </w:r>
            <w:r>
              <w:t xml:space="preserve">result badges, and changelog.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test-cases-description"/>
      <w:r>
        <w:rPr>
          <w:sz w:val="112"/>
          <w:szCs w:val="112"/>
        </w:rPr>
        <w:t xml:space="preserve">1</w:t>
      </w:r>
      <w:r>
        <w:tab/>
      </w:r>
      <w:r>
        <w:t xml:space="preserve">Test Cases Description</w:t>
      </w:r>
      <w:bookmarkEnd w:id="100"/>
    </w:p>
    <w:p>
      <w:pPr>
        <w:pStyle w:val="BodyText"/>
      </w:pPr>
      <w:r>
        <w:rPr>
          <w:bCs/>
          <w:b/>
        </w:rPr>
        <w:t xml:space="preserve">General Objective:</w:t>
      </w:r>
      <w:r>
        <w:t xml:space="preserve"> </w:t>
      </w:r>
      <w:r>
        <w:t xml:space="preserve">Validate the Huawei Cloud Data Platform deployment for the</w:t>
      </w:r>
      <w:r>
        <w:t xml:space="preserve"> </w:t>
      </w:r>
      <w:r>
        <w:t xml:space="preserve">POC environment, ensuring that all core services (DataArts Studio, MRS,</w:t>
      </w:r>
      <w:r>
        <w:t xml:space="preserve"> </w:t>
      </w:r>
      <w:r>
        <w:t xml:space="preserve">OBS, VPC) are provisioned correctly, accessible, and functioning as</w:t>
      </w:r>
      <w:r>
        <w:t xml:space="preserve"> </w:t>
      </w:r>
      <w:r>
        <w:t xml:space="preserve">specified in the solution architecture.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Huawei Cloud account with IAM admin privileges in the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 </w:t>
      </w:r>
      <w:r>
        <w:t xml:space="preserve">region.</w:t>
      </w:r>
    </w:p>
    <w:p>
      <w:pPr>
        <w:numPr>
          <w:ilvl w:val="0"/>
          <w:numId w:val="1001"/>
        </w:numPr>
      </w:pPr>
      <w:r>
        <w:t xml:space="preserve">VPC, subnet, and security groups already created by the infrastructure team.</w:t>
      </w:r>
    </w:p>
    <w:p>
      <w:pPr>
        <w:numPr>
          <w:ilvl w:val="0"/>
          <w:numId w:val="1001"/>
        </w:numPr>
      </w:pPr>
      <w:r>
        <w:t xml:space="preserve">DataArts Studio instance (Dayu) provisioned and licensed.</w:t>
      </w:r>
    </w:p>
    <w:p>
      <w:pPr>
        <w:numPr>
          <w:ilvl w:val="0"/>
          <w:numId w:val="1001"/>
        </w:numPr>
      </w:pPr>
      <w:r>
        <w:t xml:space="preserve">MRS cluster deployed with the required component stack (HDFS, YARN, Spark, Hive).</w:t>
      </w:r>
    </w:p>
    <w:p>
      <w:pPr>
        <w:numPr>
          <w:ilvl w:val="0"/>
          <w:numId w:val="1001"/>
        </w:numPr>
      </w:pPr>
      <w:r>
        <w:t xml:space="preserve">OBS bucket created and accessible with the designated IAM policy.</w:t>
      </w:r>
    </w:p>
    <w:p>
      <w:pPr>
        <w:numPr>
          <w:ilvl w:val="0"/>
          <w:numId w:val="1001"/>
        </w:numPr>
      </w:pPr>
      <w:r>
        <w:t xml:space="preserve">Test execution environment with network connectivity to the Huawei Cloud Console.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latexmk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CLI tools installed locally.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test-scope"/>
      <w:r>
        <w:t xml:space="preserve">1.1</w:t>
      </w:r>
      <w:r>
        <w:t xml:space="preserve"> Test Scope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Domain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What Should Be Observed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Platform Architecture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Core services are deployed, healthy, and reachable via the Console API.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Data Engineering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DataArts Studio pipelines can ingest, transform, and load data into the target storage.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Data Storage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OBS buckets and MRS HDFS accept writes/reads with correct permissions.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Security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IAM policies, VPC isolation, and security group rules enforce the intended access control.</w:t>
            </w:r>
          </w:p>
        </w:tc>
      </w:tr>
    </w:tbl>
    <w:p>
      <w:pPr>
        <w:pStyle w:val="Heading2"/>
      </w:pPr>
      <w:bookmarkStart w:id="102" w:name="preconditions-and-preparations"/>
      <w:r>
        <w:t xml:space="preserve">1.2</w:t>
      </w:r>
      <w:r>
        <w:t xml:space="preserve"> Preconditions and Preparations</w:t>
      </w:r>
      <w:bookmarkEnd w:id="102"/>
    </w:p>
    <w:p>
      <w:pPr>
        <w:numPr>
          <w:ilvl w:val="0"/>
          <w:numId w:val="1002"/>
        </w:numPr>
      </w:pPr>
      <w:r>
        <w:t xml:space="preserve">All infrastructure resources must be provisioned via Terraform and the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output must show zero errors.</w:t>
      </w:r>
    </w:p>
    <w:p>
      <w:pPr>
        <w:numPr>
          <w:ilvl w:val="0"/>
          <w:numId w:val="1002"/>
        </w:numPr>
      </w:pPr>
      <w:r>
        <w:t xml:space="preserve">The MRS cluster must be in</w:t>
      </w:r>
      <w:r>
        <w:t xml:space="preserve"> </w:t>
      </w:r>
      <w:r>
        <w:rPr>
          <w:bCs/>
          <w:b/>
        </w:rPr>
        <w:t xml:space="preserve">Running</w:t>
      </w:r>
      <w:r>
        <w:t xml:space="preserve"> </w:t>
      </w:r>
      <w:r>
        <w:t xml:space="preserve">state before any data engineering test case is executed.</w:t>
      </w:r>
    </w:p>
    <w:p>
      <w:pPr>
        <w:numPr>
          <w:ilvl w:val="0"/>
          <w:numId w:val="1002"/>
        </w:numPr>
      </w:pPr>
      <w:r>
        <w:t xml:space="preserve">Test data files (CSV/JSON) must be uploaded to the designated OBS bucket prior to pipeline execution.</w:t>
      </w:r>
    </w:p>
    <w:p>
      <w:pPr>
        <w:numPr>
          <w:ilvl w:val="0"/>
          <w:numId w:val="1002"/>
        </w:numPr>
      </w:pPr>
      <w:r>
        <w:t xml:space="preserve">Each tester must have a personal IAM account with the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role assigned in DataArts Studio.</w:t>
      </w:r>
    </w:p>
    <w:p>
      <w:pPr>
        <w:numPr>
          <w:ilvl w:val="0"/>
          <w:numId w:val="1002"/>
        </w:numPr>
      </w:pPr>
      <w:r>
        <w:t xml:space="preserve">Network firewall rules must allow inbound TCP 22 (SSH) and TCP 443 (HTTPS) from the test execution subnet.</w:t>
      </w:r>
    </w:p>
    <w:p>
      <w:pPr>
        <w:pStyle w:val="FirstParagraph"/>
      </w:pPr>
      <w:r>
        <w:rPr>
          <w:iCs/>
          <w:i/>
        </w:rPr>
        <w:t xml:space="preserve">Ensure the test execution environment has the correct timezone set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so that log timestamps align with the Huawei Cloud Console.</w:t>
      </w:r>
    </w:p>
    <w:p>
      <w:pPr>
        <w:pStyle w:val="SourceCode"/>
      </w:pPr>
      <w:r>
        <w:rPr>
          <w:rStyle w:val="CommentTok"/>
        </w:rPr>
        <w:t xml:space="preserve"># Verify CLI tools are installed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Tip</w:t>
            </w:r>
          </w:p>
          <w:p>
            <w:pPr>
              <w:pStyle w:val="FirstParagraph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to preview</w:t>
            </w:r>
            <w:r>
              <w:t xml:space="preserve"> </w:t>
            </w:r>
            <w:r>
              <w:t xml:space="preserve">infrastructure changes and avoid unintended resource modifications.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acceptance-method"/>
      <w:r>
        <w:t xml:space="preserve">1.3</w:t>
      </w:r>
      <w:r>
        <w:t xml:space="preserve"> Acceptance Method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Explanation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Satisfied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passes fully --- observed behavior matches the expected result with no deviations.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Satisfied but with reservations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passes but minor deviations were observed that do not impact the POC objectives (documented in Remarks).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Not satisfied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fails --- observed behavior does not match the expected result. A defect report must be filed.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Untested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could not be executed due to blocking dependencies or environment issues.</w:t>
            </w:r>
          </w:p>
        </w:tc>
      </w:tr>
    </w:tbl>
    <w:p>
      <w:pPr>
        <w:pStyle w:val="Heading2"/>
      </w:pPr>
      <w:bookmarkStart w:id="104" w:name="test-case-summary"/>
      <w:r>
        <w:t xml:space="preserve">1.4</w:t>
      </w:r>
      <w:r>
        <w:t xml:space="preserve"> Test Case Summary</w:t>
      </w:r>
      <w:bookmarkEnd w:id="104"/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MRS cluster deployment and 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OBS bucket creation and accessibility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VPC and security group 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DataArts Studio workspace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data ingestion pipeline execution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Spark SQL query on MRS cluster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IAM policy enforcement on OBS buckets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DataArts Studio data masking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Terraform infrastructure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test data upload to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5" w:name="platform-architecture"/>
      <w:r>
        <w:rPr>
          <w:sz w:val="112"/>
          <w:szCs w:val="112"/>
        </w:rPr>
        <w:t xml:space="preserve">2</w:t>
      </w:r>
      <w:r>
        <w:tab/>
      </w:r>
      <w:r>
        <w:t xml:space="preserve">Platform Architecture</w:t>
      </w:r>
      <w:bookmarkEnd w:id="105"/>
    </w:p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TC-001: Verify MRS cluster deployment and health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MapReduce Service (MRS) cluster is deployed with the required components (HDFS, YARN, Spark, Hive) and all nodes report a healthy status.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03"/>
        </w:numPr>
        <w:pStyle w:val="Compact"/>
      </w:pPr>
      <w:r>
        <w:t xml:space="preserve">Terraform infrastructure apply completed successfully. - MRS cluster ID is available in the Terraform output. - IAM user has</w:t>
      </w:r>
      <w:r>
        <w:t xml:space="preserve"> </w:t>
      </w:r>
      <w:r>
        <w:rPr>
          <w:bCs/>
          <w:b/>
        </w:rPr>
        <w:t xml:space="preserve">MRS_Viewer</w:t>
      </w:r>
      <w:r>
        <w:t xml:space="preserve"> </w:t>
      </w:r>
      <w:r>
        <w:t xml:space="preserve">or higher role.</w:t>
      </w:r>
    </w:p>
    <w:p>
      <w:pPr>
        <w:pStyle w:val="DefinitionTerm"/>
      </w:pPr>
      <w:r>
        <w:t xml:space="preserve">Procedure</w:t>
      </w:r>
    </w:p>
    <w:p>
      <w:pPr>
        <w:pStyle w:val="Definition"/>
      </w:pPr>
      <w:r>
        <w:t xml:space="preserve">1. Log in to the Huawei Cloud Console 2. Navigate to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MapReduce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Clusters</w:t>
      </w:r>
      <w:r>
        <w:t xml:space="preserve"> </w:t>
      </w:r>
      <w:r>
        <w:t xml:space="preserve">3. Locate cluster</w:t>
      </w:r>
      <w:r>
        <w:t xml:space="preserve"> </w:t>
      </w:r>
      <w:r>
        <w:rPr>
          <w:rStyle w:val="VerbatimChar"/>
        </w:rPr>
        <w:t xml:space="preserve">mrs-poc-cluster</w:t>
      </w:r>
      <w:r>
        <w:t xml:space="preserve"> </w:t>
      </w:r>
      <w:r>
        <w:t xml:space="preserve">4. Verify cluster status 5. Review Component tab 6. Review Node tab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04"/>
        </w:numPr>
        <w:pStyle w:val="Compact"/>
      </w:pPr>
      <w:r>
        <w:t xml:space="preserve">Cluster status is</w:t>
      </w:r>
      <w:r>
        <w:t xml:space="preserve"> </w:t>
      </w:r>
      <w:r>
        <w:rPr>
          <w:bCs/>
          <w:b/>
        </w:rPr>
        <w:t xml:space="preserve">Running</w:t>
      </w:r>
      <w:r>
        <w:t xml:space="preserve">. - All four components (HDFS, YARN, Spark, Hive) are listed with status</w:t>
      </w:r>
      <w:r>
        <w:t xml:space="preserve"> </w:t>
      </w:r>
      <w:r>
        <w:rPr>
          <w:bCs/>
          <w:b/>
        </w:rPr>
        <w:t xml:space="preserve">Normal</w:t>
      </w:r>
      <w:r>
        <w:t xml:space="preserve">. - All nodes report status</w:t>
      </w:r>
      <w:r>
        <w:t xml:space="preserve"> </w:t>
      </w:r>
      <w:r>
        <w:rPr>
          <w:bCs/>
          <w:b/>
        </w:rPr>
        <w:t xml:space="preserve">Running</w:t>
      </w:r>
      <w:r>
        <w:t xml:space="preserve"> </w:t>
      </w:r>
      <w:r>
        <w:t xml:space="preserve">with no alarms.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any component shows</w:t>
      </w:r>
      <w:r>
        <w:t xml:space="preserve"> </w:t>
      </w:r>
      <w:r>
        <w:rPr>
          <w:bCs/>
          <w:b/>
        </w:rPr>
        <w:t xml:space="preserve">Abnormal</w:t>
      </w:r>
      <w:r>
        <w:t xml:space="preserve">, check the MRS alarm page before marking the result.</w:t>
      </w:r>
    </w:p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TC-002: Verify OBS bucket creation and accessibility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Object Storage Service (OBS) bucket used for the POC data lake is created, has the correct storage class, and is accessible with the designated IAM policy.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05"/>
        </w:numPr>
        <w:pStyle w:val="Compact"/>
      </w:pPr>
      <w:r>
        <w:t xml:space="preserve">OBS bucket name is defined in the Terraform configuration. - IAM policy granting read/write access to the bucket is attached to the test user.</w:t>
      </w:r>
    </w:p>
    <w:p>
      <w:pPr>
        <w:pStyle w:val="DefinitionTerm"/>
      </w:pPr>
      <w:r>
        <w:t xml:space="preserve">Procedure</w:t>
      </w:r>
    </w:p>
    <w:p>
      <w:pPr>
        <w:pStyle w:val="Definition"/>
      </w:pPr>
      <w:r>
        <w:t xml:space="preserve">1. Log in to the Console 2. Navigate to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t xml:space="preserve">3. Locate the bucket (e.g. </w:t>
      </w:r>
      <w:r>
        <w:rPr>
          <w:rStyle w:val="VerbatimChar"/>
        </w:rPr>
        <w:t xml:space="preserve">poc-datalake-raw</w:t>
      </w:r>
      <w:r>
        <w:t xml:space="preserve">) 4. Verify the storage class is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5. Upload a test file (</w:t>
      </w:r>
      <w:r>
        <w:rPr>
          <w:rStyle w:val="VerbatimChar"/>
        </w:rPr>
        <w:t xml:space="preserve">test-upload.txt</w:t>
      </w:r>
      <w:r>
        <w:t xml:space="preserve">) to the bucket 6. Download the file and compare its content with the original 7. Delete the test file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06"/>
        </w:numPr>
        <w:pStyle w:val="Compact"/>
      </w:pPr>
      <w:r>
        <w:t xml:space="preserve">Bucket exists with storage class</w:t>
      </w:r>
      <w:r>
        <w:t xml:space="preserve"> </w:t>
      </w:r>
      <w:r>
        <w:rPr>
          <w:bCs/>
          <w:b/>
        </w:rPr>
        <w:t xml:space="preserve">Standard</w:t>
      </w:r>
      <w:r>
        <w:t xml:space="preserve">. - File upload completes without error. - Downloaded file content matches the original. - File deletion succeeds.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OBS eventual consistency may cause a brief delay before a newly uploaded object appears in listings.</w:t>
      </w:r>
    </w:p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TC-003: Verify VPC and security group configuration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VPC, subnet, and security groups are configured according to the network architecture diagram, with the correct CIDR blocks and inbound/outbound rules.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07"/>
        </w:numPr>
        <w:pStyle w:val="Compact"/>
      </w:pPr>
      <w:r>
        <w:t xml:space="preserve">VPC and subnet IDs are available from the Terraform output. - Security group names are documented in the solution architecture.</w:t>
      </w:r>
    </w:p>
    <w:p>
      <w:pPr>
        <w:pStyle w:val="DefinitionTerm"/>
      </w:pPr>
      <w:r>
        <w:t xml:space="preserve">Procedure</w:t>
      </w:r>
    </w:p>
    <w:p>
      <w:pPr>
        <w:pStyle w:val="Definition"/>
      </w:pPr>
      <w:r>
        <w:t xml:space="preserve">1. Log in to the Console 2. Navigate to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Virtual Private Cloud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VPCs</w:t>
      </w:r>
      <w:r>
        <w:t xml:space="preserve"> </w:t>
      </w:r>
      <w:r>
        <w:t xml:space="preserve">3. Locate the VPC (e.g. </w:t>
      </w:r>
      <w:r>
        <w:rPr>
          <w:rStyle w:val="VerbatimChar"/>
        </w:rPr>
        <w:t xml:space="preserve">vpc-poc</w:t>
      </w:r>
      <w:r>
        <w:t xml:space="preserve">) and verify its CIDR block matches the architecture (e.g. </w:t>
      </w:r>
      <w:r>
        <w:rPr>
          <w:rStyle w:val="VerbatimChar"/>
        </w:rPr>
        <w:t xml:space="preserve">10.0.0.0/16</w:t>
      </w:r>
      <w:r>
        <w:t xml:space="preserve">) 4. Click the subnet and verify its CIDR (e.g. </w:t>
      </w:r>
      <w:r>
        <w:rPr>
          <w:rStyle w:val="VerbatimChar"/>
        </w:rPr>
        <w:t xml:space="preserve">10.0.1.0/24</w:t>
      </w:r>
      <w:r>
        <w:t xml:space="preserve">) 5. Navigate to</w:t>
      </w:r>
      <w:r>
        <w:t xml:space="preserve"> </w:t>
      </w:r>
      <w:r>
        <w:rPr>
          <w:bCs/>
          <w:b/>
        </w:rPr>
        <w:t xml:space="preserve">Security Groups</w:t>
      </w:r>
      <w:r>
        <w:t xml:space="preserve"> </w:t>
      </w:r>
      <w:r>
        <w:t xml:space="preserve">and verify inbound rules: TCP 22 from the bastion subnet, TCP 443 from the corporate proxy 6. Verify outbound rules allow all traffic (default)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08"/>
        </w:numPr>
        <w:pStyle w:val="Compact"/>
      </w:pPr>
      <w:r>
        <w:t xml:space="preserve">VPC CIDR is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. - Subnet CIDR is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. - Inbound rules match the architecture: TCP 22 and TCP 443 from the specified sources. - Outbound allows all traffic.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the security group has additional rules beyond the architecture spec, document them in the Remarks field.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6" w:name="data-engineering"/>
      <w:r>
        <w:rPr>
          <w:sz w:val="112"/>
          <w:szCs w:val="112"/>
        </w:rPr>
        <w:t xml:space="preserve">3</w:t>
      </w:r>
      <w:r>
        <w:tab/>
      </w:r>
      <w:r>
        <w:t xml:space="preserve">Data Engineering</w:t>
      </w:r>
      <w:bookmarkEnd w:id="106"/>
    </w:p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TC-004: Verify DataArts Studio workspace creation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DataArts Studio (Dayu) instance is provisioned, the workspace is accessible, and the designated IAM users can log in with the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role.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t xml:space="preserve">DataArts Studio instance is provisioned and its status is</w:t>
      </w:r>
      <w:r>
        <w:t xml:space="preserve"> </w:t>
      </w:r>
      <w:r>
        <w:rPr>
          <w:bCs/>
          <w:b/>
        </w:rPr>
        <w:t xml:space="preserve">Running</w:t>
      </w:r>
      <w:r>
        <w:t xml:space="preserve">. - Test IAM user has the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role assigned.</w:t>
      </w:r>
    </w:p>
    <w:p>
      <w:pPr>
        <w:pStyle w:val="DefinitionTerm"/>
      </w:pPr>
      <w:r>
        <w:t xml:space="preserve">Procedure</w:t>
      </w:r>
    </w:p>
    <w:p>
      <w:pPr>
        <w:pStyle w:val="Definition"/>
      </w:pPr>
      <w:r>
        <w:t xml:space="preserve">1. Log in to the Console with the test IAM user 2. Navigate to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DataArts Studio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Workspaces</w:t>
      </w:r>
      <w:r>
        <w:t xml:space="preserve"> </w:t>
      </w:r>
      <w:r>
        <w:t xml:space="preserve">3. Locate the workspace (e.g. </w:t>
      </w:r>
      <w:r>
        <w:rPr>
          <w:rStyle w:val="VerbatimChar"/>
        </w:rPr>
        <w:t xml:space="preserve">poc-workspace</w:t>
      </w:r>
      <w:r>
        <w:t xml:space="preserve">) 4. Click</w:t>
      </w:r>
      <w:r>
        <w:t xml:space="preserve"> </w:t>
      </w:r>
      <w:r>
        <w:rPr>
          <w:bCs/>
          <w:b/>
        </w:rPr>
        <w:t xml:space="preserve">Access Workspace</w:t>
      </w:r>
      <w:r>
        <w:t xml:space="preserve"> </w:t>
      </w:r>
      <w:r>
        <w:t xml:space="preserve">to open the DataArts Studio console 5. Verify the left navigation panel loads with the expected modules:</w:t>
      </w:r>
      <w:r>
        <w:t xml:space="preserve"> </w:t>
      </w:r>
      <w:r>
        <w:rPr>
          <w:bCs/>
          <w:b/>
        </w:rPr>
        <w:t xml:space="preserve">Data Integration</w:t>
      </w:r>
      <w:r>
        <w:t xml:space="preserve">,</w:t>
      </w:r>
      <w:r>
        <w:t xml:space="preserve"> </w:t>
      </w:r>
      <w:r>
        <w:rPr>
          <w:bCs/>
          <w:b/>
        </w:rPr>
        <w:t xml:space="preserve">Data Development</w:t>
      </w:r>
      <w:r>
        <w:t xml:space="preserve">,</w:t>
      </w:r>
      <w:r>
        <w:t xml:space="preserve"> </w:t>
      </w:r>
      <w:r>
        <w:rPr>
          <w:bCs/>
          <w:b/>
        </w:rPr>
        <w:t xml:space="preserve">Data Architecture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10"/>
        </w:numPr>
        <w:pStyle w:val="Compact"/>
      </w:pPr>
      <w:r>
        <w:t xml:space="preserve">Workspace is listed and accessible. - DataArts Studio console opens without errors. - All three modules (Data Integration, Data Development, Data Architecture) are visible in the navigation.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the workspace fails to load, check the Dayu instance status and the IAM role assignment.</w:t>
      </w:r>
    </w:p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TC-005: Verify data ingestion pipeline execution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a DataArts Studio batch pipeline can successfully ingest CSV data from OBS, apply a basic transformation, and write the result to the target OBS path.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1"/>
        </w:numPr>
        <w:pStyle w:val="Compact"/>
      </w:pPr>
      <w:r>
        <w:t xml:space="preserve">TC-004 completed (DataArts Studio workspace accessible). - Source CSV file (</w:t>
      </w:r>
      <w:r>
        <w:rPr>
          <w:rStyle w:val="VerbatimChar"/>
        </w:rPr>
        <w:t xml:space="preserve">customers.csv</w:t>
      </w:r>
      <w:r>
        <w:t xml:space="preserve">) exists in the OBS raw bucket. - Target OBS path (</w:t>
      </w:r>
      <w:r>
        <w:rPr>
          <w:rStyle w:val="VerbatimChar"/>
        </w:rPr>
        <w:t xml:space="preserve">poc-datalake-curated/customers/</w:t>
      </w:r>
      <w:r>
        <w:t xml:space="preserve">) is configured. -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is published in DataArts Studio.</w:t>
      </w:r>
    </w:p>
    <w:p>
      <w:pPr>
        <w:pStyle w:val="DefinitionTerm"/>
      </w:pPr>
      <w:r>
        <w:t xml:space="preserve">Procedure</w:t>
      </w:r>
    </w:p>
    <w:p>
      <w:pPr>
        <w:pStyle w:val="Definition"/>
      </w:pPr>
      <w:r>
        <w:t xml:space="preserve">1. Navigate to Data Development in DataArts Studio 2. Locate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3. Click Run to execute the pipeline 4. Wait for pipeline status (timeout: 10 min) 5. Verify output file in OBS 6. Download and verify row count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12"/>
        </w:numPr>
        <w:pStyle w:val="Compact"/>
      </w:pPr>
      <w:r>
        <w:t xml:space="preserve">Pipeline execution completes with status</w:t>
      </w:r>
      <w:r>
        <w:t xml:space="preserve"> </w:t>
      </w:r>
      <w:r>
        <w:rPr>
          <w:bCs/>
          <w:b/>
        </w:rPr>
        <w:t xml:space="preserve">Success</w:t>
      </w:r>
      <w:r>
        <w:t xml:space="preserve">. - Output file is created in the target OBS path. - Row count of the output file matches the source file.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Pipeline execution time varies with data volume. For the POC, the source file contains approximately 10,000 rows.</w:t>
      </w:r>
    </w:p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TC-006: Verify Spark SQL query on MRS cluster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a Spark SQL query can be executed on the MRS cluster to read data from a Hive table and return correct results, validating the integration between MRS and the data lake.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3"/>
        </w:numPr>
        <w:pStyle w:val="Compact"/>
      </w:pPr>
      <w:r>
        <w:t xml:space="preserve">TC-001 completed (MRS cluster healthy). - Hive table</w:t>
      </w:r>
      <w:r>
        <w:t xml:space="preserve"> </w:t>
      </w:r>
      <w:r>
        <w:rPr>
          <w:rStyle w:val="VerbatimChar"/>
        </w:rPr>
        <w:t xml:space="preserve">poc_db.customers</w:t>
      </w:r>
      <w:r>
        <w:t xml:space="preserve"> </w:t>
      </w:r>
      <w:r>
        <w:t xml:space="preserve">exists and contains data loaded by the ingestion pipeline. - SSH access to the MRS master node is configured.</w:t>
      </w:r>
    </w:p>
    <w:p>
      <w:pPr>
        <w:pStyle w:val="DefinitionTerm"/>
      </w:pPr>
      <w:r>
        <w:t xml:space="preserve">Procedure</w:t>
      </w:r>
    </w:p>
    <w:p>
      <w:pPr>
        <w:pStyle w:val="Definition"/>
      </w:pPr>
      <w:r>
        <w:t xml:space="preserve">1. SSH into the MRS master node 2. Run the Spark SQL CLI:</w:t>
      </w:r>
      <w:r>
        <w:t xml:space="preserve"> </w:t>
      </w:r>
      <w:r>
        <w:rPr>
          <w:rStyle w:val="VerbatimChar"/>
        </w:rPr>
        <w:t xml:space="preserve">spark-sql –master yarn --conf spark.sql.hive.convertMetastoreOrc=true -e "SELECT COUNT(*) FROM poc_db.customers;"</w:t>
      </w:r>
      <w:r>
        <w:t xml:space="preserve"> </w:t>
      </w:r>
      <w:r>
        <w:t xml:space="preserve">3. Verify the returned count matches the expected row count (10,000) 4. Run a sample query to verify data integrity:</w:t>
      </w:r>
      <w:r>
        <w:t xml:space="preserve"> </w:t>
      </w:r>
      <w:r>
        <w:rPr>
          <w:rStyle w:val="VerbatimChar"/>
        </w:rPr>
        <w:t xml:space="preserve">spark-sql –master yarn -e "SELECT customer_id, name FROM poc_db.customers LIMIT 5;"</w:t>
      </w:r>
      <w:r>
        <w:t xml:space="preserve"> </w:t>
      </w:r>
      <w:r>
        <w:t xml:space="preserve">5. Confirm the query returns 5 rows with non-null values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COUNT(*)</w:t>
      </w:r>
      <w:r>
        <w:t xml:space="preserve"> </w:t>
      </w:r>
      <w:r>
        <w:t xml:space="preserve">returns 10,000. - The sample query returns 5 rows with valid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values.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the Spark SQL CLI is not available, use the MRS Spark2x component’s web UI to submit the query instead.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7" w:name="security-and-access-control"/>
      <w:r>
        <w:rPr>
          <w:sz w:val="112"/>
          <w:szCs w:val="112"/>
        </w:rPr>
        <w:t xml:space="preserve">4</w:t>
      </w:r>
      <w:r>
        <w:tab/>
      </w:r>
      <w:r>
        <w:t xml:space="preserve">Security and Access Control</w:t>
      </w:r>
      <w:bookmarkEnd w:id="107"/>
    </w:p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TC-007: Verify IAM policy enforcement on OBS buckets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IAM policies correctly restrict OBS bucket access — authorized users can read/write while unauthorized users are denied, and the bucket policy matches the principle of least privilege.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5"/>
        </w:numPr>
        <w:pStyle w:val="Compact"/>
      </w:pPr>
      <w:r>
        <w:t xml:space="preserve">OBS bucket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exists with the designated IAM policy. - Two test IAM users: one with</w:t>
      </w:r>
      <w:r>
        <w:t xml:space="preserve"> </w:t>
      </w:r>
      <w:r>
        <w:rPr>
          <w:bCs/>
          <w:b/>
        </w:rPr>
        <w:t xml:space="preserve">OBS_ReadWrite</w:t>
      </w:r>
      <w:r>
        <w:t xml:space="preserve"> </w:t>
      </w:r>
      <w:r>
        <w:t xml:space="preserve">role, one with no OBS permissions. -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CLI configured for both users.</w:t>
      </w:r>
    </w:p>
    <w:p>
      <w:pPr>
        <w:pStyle w:val="DefinitionTerm"/>
      </w:pPr>
      <w:r>
        <w:t xml:space="preserve">Procedure</w:t>
      </w:r>
    </w:p>
    <w:p>
      <w:pPr>
        <w:pStyle w:val="Definition"/>
      </w:pPr>
      <w:r>
        <w:t xml:space="preserve">1. Using the authorized user, upload a test file to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2. Using the authorized user, download and verify the file content 3. Using the unauthorized user, attempt to upload a file — verify the request is denied (HTTP 403) 4. Using the unauthorized user, attempt to list objects in the bucket — verify the request is denied 5. Review the bucket policy in the Console at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Bucket Policies</w:t>
      </w:r>
      <w:r>
        <w:t xml:space="preserve"> </w:t>
      </w:r>
      <w:r>
        <w:t xml:space="preserve">and confirm it grants only the intended permissions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16"/>
        </w:numPr>
        <w:pStyle w:val="Compact"/>
      </w:pPr>
      <w:r>
        <w:t xml:space="preserve">Authorized user can upload and download successfully. - Unauthorized user receives HTTP 403 on both upload and list operations. - Bucket policy grants only the intended read/write permissions to the designated roles.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Check the Cloud Trail logs if access denial is not returned as expected — there may be a policy inheritance from the project or domain level.</w:t>
      </w:r>
    </w:p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TC-008: Verify DataArts Studio data masking rule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sensitive data columns (e.g. PII fields) are masked according to the DataArts Studio data masking rule when queried by non-admin users.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7"/>
        </w:numPr>
        <w:pStyle w:val="Compact"/>
      </w:pPr>
      <w:r>
        <w:t xml:space="preserve">TC-004 completed (DataArts Studio workspace accessible). - Data masking rule configured for column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(Social Security Number). - Test user has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role (not admin).</w:t>
      </w:r>
    </w:p>
    <w:p>
      <w:pPr>
        <w:pStyle w:val="DefinitionTerm"/>
      </w:pPr>
      <w:r>
        <w:t xml:space="preserve">Procedure</w:t>
      </w:r>
    </w:p>
    <w:p>
      <w:pPr>
        <w:pStyle w:val="Definition"/>
      </w:pPr>
      <w:r>
        <w:t xml:space="preserve">1. In the DataArts Studio console, navigate to</w:t>
      </w:r>
      <w:r>
        <w:t xml:space="preserve"> </w:t>
      </w:r>
      <w:r>
        <w:rPr>
          <w:bCs/>
          <w:b/>
        </w:rPr>
        <w:t xml:space="preserve">Data Architecture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Data Masking</w:t>
      </w:r>
      <w:r>
        <w:t xml:space="preserve"> </w:t>
      </w:r>
      <w:r>
        <w:t xml:space="preserve">2. Verify the masking rule for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is active and uses the</w:t>
      </w:r>
      <w:r>
        <w:t xml:space="preserve"> </w:t>
      </w:r>
      <w:r>
        <w:rPr>
          <w:bCs/>
          <w:b/>
        </w:rPr>
        <w:t xml:space="preserve">Mask All</w:t>
      </w:r>
      <w:r>
        <w:t xml:space="preserve"> </w:t>
      </w:r>
      <w:r>
        <w:t xml:space="preserve">strategy 3. Query the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table as the test user via DataArts Studio SQL console 4. Verify the</w:t>
      </w:r>
      <w:r>
        <w:t xml:space="preserve"> </w:t>
      </w:r>
      <w:r>
        <w:rPr>
          <w:rStyle w:val="VerbatimChar"/>
        </w:rPr>
        <w:t xml:space="preserve">ssn</w:t>
      </w:r>
      <w:r>
        <w:t xml:space="preserve"> </w:t>
      </w:r>
      <w:r>
        <w:t xml:space="preserve">column returns masked values (e.g. </w:t>
      </w:r>
      <w:r>
        <w:rPr>
          <w:rStyle w:val="VerbatimChar"/>
        </w:rPr>
        <w:t xml:space="preserve">*********</w:t>
      </w:r>
      <w:r>
        <w:t xml:space="preserve">) instead of real data 5. Query the same table as an admin user and verify real values are returned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18"/>
        </w:numPr>
        <w:pStyle w:val="Compact"/>
      </w:pPr>
      <w:r>
        <w:t xml:space="preserve">Masking rule is active for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. - Non-admin user sees masked values in the</w:t>
      </w:r>
      <w:r>
        <w:t xml:space="preserve"> </w:t>
      </w:r>
      <w:r>
        <w:rPr>
          <w:rStyle w:val="VerbatimChar"/>
        </w:rPr>
        <w:t xml:space="preserve">ssn</w:t>
      </w:r>
      <w:r>
        <w:t xml:space="preserve"> </w:t>
      </w:r>
      <w:r>
        <w:t xml:space="preserve">column. - Admin user sees real values in the</w:t>
      </w:r>
      <w:r>
        <w:t xml:space="preserve"> </w:t>
      </w:r>
      <w:r>
        <w:rPr>
          <w:rStyle w:val="VerbatimChar"/>
        </w:rPr>
        <w:t xml:space="preserve">ssn</w:t>
      </w:r>
      <w:r>
        <w:t xml:space="preserve"> </w:t>
      </w:r>
      <w:r>
        <w:t xml:space="preserve">column.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Data masking rules apply at query time — the underlying data in OBS/HDFS is not modified.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8" w:name="environment-setup-and-tooling"/>
      <w:r>
        <w:rPr>
          <w:sz w:val="112"/>
          <w:szCs w:val="112"/>
        </w:rPr>
        <w:t xml:space="preserve">5</w:t>
      </w:r>
      <w:r>
        <w:tab/>
      </w:r>
      <w:r>
        <w:t xml:space="preserve">Environment Setup and Tooling</w:t>
      </w:r>
      <w:bookmarkEnd w:id="108"/>
    </w:p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TC-009: Verify Terraform infrastructure deployment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Terraform configuration deploys all required infrastructure resources (VPC, MRS, OBS, DataArts Studio) without errors and the state file reflects the expected resources.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terraform</w:t>
      </w:r>
      <w:r>
        <w:t xml:space="preserve"> </w:t>
      </w:r>
      <w:r>
        <w:t xml:space="preserve">CLI installed (version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1.0). - AK/SK credentials configured via environment variables or</w:t>
      </w:r>
      <w:r>
        <w:t xml:space="preserve"> </w:t>
      </w:r>
      <w:r>
        <w:rPr>
          <w:iCs/>
          <w:i/>
        </w:rPr>
        <w:t xml:space="preserve">provider.tf</w:t>
      </w:r>
      <w:r>
        <w:t xml:space="preserve">. - Terraform configuration files in the project directory.</w:t>
      </w:r>
    </w:p>
    <w:p>
      <w:pPr>
        <w:pStyle w:val="DefinitionTerm"/>
      </w:pPr>
      <w:r>
        <w:t xml:space="preserve">Procedure</w:t>
      </w:r>
    </w:p>
    <w:p>
      <w:pPr>
        <w:pStyle w:val="Definition"/>
      </w:pPr>
      <w:r>
        <w:t xml:space="preserve">1. Navigate to the Terraform project directory 2. Run</w:t>
      </w:r>
      <w:r>
        <w:t xml:space="preserve"> </w:t>
      </w:r>
      <w:r>
        <w:rPr>
          <w:rStyle w:val="VerbatimChar"/>
        </w:rPr>
        <w:t xml:space="preserve">terraform init</w:t>
      </w:r>
      <w:r>
        <w:t xml:space="preserve"> </w:t>
      </w:r>
      <w:r>
        <w:t xml:space="preserve">to initialize the working directory 3. Run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and review the planned changes — confirm all expected resources are listed 4. Run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 </w:t>
      </w:r>
      <w:r>
        <w:t xml:space="preserve">and wait for completion 5. Run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 </w:t>
      </w:r>
      <w:r>
        <w:t xml:space="preserve">and verify all output values are populated 6. Run</w:t>
      </w:r>
      <w:r>
        <w:t xml:space="preserve"> </w:t>
      </w:r>
      <w:r>
        <w:rPr>
          <w:rStyle w:val="VerbatimChar"/>
        </w:rPr>
        <w:t xml:space="preserve">terraform state list</w:t>
      </w:r>
      <w:r>
        <w:t xml:space="preserve"> </w:t>
      </w:r>
      <w:r>
        <w:t xml:space="preserve">and confirm the resource count matches the architecture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terraform apply</w:t>
      </w:r>
      <w:r>
        <w:t xml:space="preserve"> </w:t>
      </w:r>
      <w:r>
        <w:t xml:space="preserve">completes with no errors. - All output values are populated (cluster ID, bucket name, VPC ID). - Resource count in state matches the architecture specification.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fails, check the AK/SK credentials and the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 </w:t>
      </w:r>
      <w:r>
        <w:t xml:space="preserve">region quota limits.</w:t>
      </w:r>
    </w:p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TC-010: Verify test data upload to OBS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all required test data files (CSV, JSON) can be uploaded to the designated OBS bucket and are accessible by the DataArts Studio pipeline.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21"/>
        </w:numPr>
        <w:pStyle w:val="Compact"/>
      </w:pPr>
      <w:r>
        <w:t xml:space="preserve">TC-002 completed (OBS bucket accessible). - Test data files prepared in the local directory</w:t>
      </w:r>
      <w:r>
        <w:t xml:space="preserve"> </w:t>
      </w:r>
      <w:r>
        <w:rPr>
          <w:iCs/>
          <w:i/>
        </w:rPr>
        <w:t xml:space="preserve">./test-data/</w:t>
      </w:r>
      <w:r>
        <w:t xml:space="preserve">. -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CLI configured with the test user credentials.</w:t>
      </w:r>
    </w:p>
    <w:p>
      <w:pPr>
        <w:pStyle w:val="DefinitionTerm"/>
      </w:pPr>
      <w:r>
        <w:t xml:space="preserve">Procedure</w:t>
      </w:r>
    </w:p>
    <w:p>
      <w:pPr>
        <w:pStyle w:val="Definition"/>
      </w:pPr>
      <w:r>
        <w:t xml:space="preserve">1. List the local test data files and verify their integrity (row count, schema) 2. Upload all files to the OBS raw bucket using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3. Verify each file exists in OBS by listing the bucket contents 4. Download a sample file from OBS and compare it with the local original (checksum) 5. In DataArts Studio, verify the data source connection can read the uploaded files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22"/>
        </w:numPr>
        <w:pStyle w:val="Compact"/>
      </w:pPr>
      <w:r>
        <w:t xml:space="preserve">All test data files are uploaded without errors. - Bucket listing shows all uploaded files with correct sizes. - Downloaded file checksum matches the local original. - DataArts Studio data source connection can read the files.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Large files (</w:t>
      </w:r>
      <m:oMath>
        <m:r>
          <m:rPr>
            <m:sty m:val="p"/>
          </m:rPr>
          <m:t>&gt;</m:t>
        </m:r>
      </m:oMath>
      <w:r>
        <w:t xml:space="preserve">1 GB) should be uploaded using the OBS multipart upload feature for better reliability.</w:t>
      </w:r>
    </w:p>
    <w:p>
      <w:pPr>
        <w:pStyle w:val="FirstParagraph"/>
      </w:pPr>
      <w:r>
        <w:rPr>
          <w:iCs/>
          <w:i/>
        </w:rPr>
        <w:t xml:space="preserve">[Image placeholder: Screenshot of the test execution dashboard showing all test case results]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sec-changelog"/>
      <w:r>
        <w:rPr>
          <w:sz w:val="112"/>
          <w:szCs w:val="112"/>
        </w:rPr>
        <w:t xml:space="preserve">6</w:t>
      </w:r>
      <w:r>
        <w:tab/>
      </w:r>
      <w:r>
        <w:t xml:space="preserve">Changelog</w:t>
      </w:r>
      <w:bookmarkEnd w:id="109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Changed teststeps from tabular table to auto-numbered paragraphs.</w:t>
      </w:r>
      <w:r>
        <w:t xml:space="preserve"> </w:t>
      </w:r>
      <w:r>
        <w:rPr>
          <w:rStyle w:val="VerbatimChar"/>
        </w:rPr>
        <w:t xml:space="preserve">\teststep</w:t>
      </w:r>
      <w:r>
        <w:t xml:space="preserve"> </w:t>
      </w:r>
      <w:r>
        <w:t xml:space="preserve">now takes 1 arg (action only). Images, code blocks, and callouts can be placed freely between steps.</w:t>
      </w: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Redesigned testcase layout: full-width mini header bars for each field, testprocedure environment with 2-column step table, field order updated (Test Result before Remarks).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Added comprehensive feature demonstrations: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 </w:t>
      </w:r>
      <w:r>
        <w:t xml:space="preserve">callouts;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blocks;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paths; and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 </w:t>
      </w:r>
      <w:r>
        <w:t xml:space="preserve">references.</w:t>
      </w:r>
    </w:p>
    <w:p>
      <w:pPr>
        <w:pStyle w:val="BodyText"/>
      </w:pPr>
      <w:r>
        <w:t xml:space="preserve">Added Security and Access Control test cases (TC-007, TC-008).</w:t>
      </w:r>
    </w:p>
    <w:p>
      <w:pPr>
        <w:pStyle w:val="BodyText"/>
      </w:pPr>
      <w:r>
        <w:t xml:space="preserve">Added Environment Setup and Tooling test cases (TC-009, TC-010).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Initial version.</w:t>
      </w:r>
    </w:p>
    <w:p>
      <w:pPr>
        <w:pStyle w:val="BodyText"/>
      </w:pPr>
      <w:r>
        <w:t xml:space="preserve">Added Platform Architecture test cases (TC-001 to TC-003).</w:t>
      </w:r>
    </w:p>
    <w:p>
      <w:pPr>
        <w:pStyle w:val="BodyText"/>
      </w:pPr>
      <w:r>
        <w:t xml:space="preserve">Added Data Engineering test cases (TC-004 to TC-006).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en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POC Test Cases — Data Platform Validation</dc:title>
  <dc:creator/>
  <dc:language>en</dc:language>
  <cp:keywords/>
  <dcterms:created xsi:type="dcterms:W3CDTF">2026-09-13T14:50:34Z</dcterms:created>
  <dcterms:modified xsi:type="dcterms:W3CDTF">2026-09-13T14:50:34Z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2.1.0</vt:lpwstr>
  </property>
</Properties>
</file>