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11:50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pPr>
        <w:pStyle w:val="Heading2"/>
      </w:pPr>
      <w:bookmarkStart w:id="104" w:name="resumo-dos-casos-de-teste"/>
      <w:r>
        <w:t xml:space="preserve">1.4</w:t>
      </w:r>
      <w:r>
        <w:t xml:space="preserve"> Resumo dos Casos de Teste</w:t>
      </w:r>
      <w:bookmarkEnd w:id="104"/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3"/>
        </w:numPr>
        <w:pStyle w:val="Compact"/>
      </w:pPr>
      <w:r>
        <w:t xml:space="preserve">Aplicação da infraestrutura Terraform concluída com sucesso. - ID do cluster MRS disponível na saída do Terraform. -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4"/>
        </w:numPr>
        <w:pStyle w:val="Compact"/>
      </w:pPr>
      <w:r>
        <w:t xml:space="preserve">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-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-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5"/>
        </w:numPr>
        <w:pStyle w:val="Compact"/>
      </w:pPr>
      <w:r>
        <w:t xml:space="preserve">Nome do bucket OBS definido na configuração Terraform. -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6"/>
        </w:numPr>
        <w:pStyle w:val="Compact"/>
      </w:pPr>
      <w:r>
        <w:t xml:space="preserve">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- O carregamento do arquivo conclui sem erro. - O conteúdo do arquivo baixado corresponde ao original. -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7"/>
        </w:numPr>
        <w:pStyle w:val="Compact"/>
      </w:pPr>
      <w:r>
        <w:t xml:space="preserve">IDs da VPC e da sub-rede disponíveis na saída do Terraform. -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8"/>
        </w:numPr>
        <w:pStyle w:val="Compact"/>
      </w:pPr>
      <w:r>
        <w:t xml:space="preserve">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-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- Regras de entrada correspondem à arquitetura: TCP 22 e TCP 443 das origens especificadas. -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9"/>
        </w:numPr>
        <w:pStyle w:val="Compact"/>
      </w:pPr>
      <w:r>
        <w:t xml:space="preserve">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-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0"/>
        </w:numPr>
        <w:pStyle w:val="Compact"/>
      </w:pPr>
      <w:r>
        <w:t xml:space="preserve">O workspace está listado e acessível. - O console do DataArts Studio abre sem erros. -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1"/>
        </w:numPr>
        <w:pStyle w:val="Compact"/>
      </w:pPr>
      <w:r>
        <w:t xml:space="preserve">TC-004 concluído (workspace do DataArts Studio acessível). - Arquivo CSV de origem (</w:t>
      </w:r>
      <w:r>
        <w:rPr>
          <w:rStyle w:val="VerbatimChar"/>
        </w:rPr>
        <w:t xml:space="preserve">customers.csv</w:t>
      </w:r>
      <w:r>
        <w:t xml:space="preserve">) existe no bucket OBS raw. -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-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2"/>
        </w:numPr>
        <w:pStyle w:val="Compact"/>
      </w:pPr>
      <w:r>
        <w:t xml:space="preserve">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- O arquivo de saída é criado no caminho OBS de destino. -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3"/>
        </w:numPr>
        <w:pStyle w:val="Compact"/>
      </w:pPr>
      <w:r>
        <w:t xml:space="preserve">TC-001 concluído (cluster MRS saudável). -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-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Verificar se a contagem retornada corresponde ao esperado (10.000) 4. Executar uma consulta de amostra para verificar a integridade dos dados: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-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gurança-e-controle-de-acesso"/>
      <w:r>
        <w:rPr>
          <w:sz w:val="112"/>
          <w:szCs w:val="112"/>
        </w:rPr>
        <w:t xml:space="preserve">4</w:t>
      </w:r>
      <w:r>
        <w:tab/>
      </w:r>
      <w:r>
        <w:t xml:space="preserve">Segurança e Controle de Acesso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5"/>
        </w:numPr>
        <w:pStyle w:val="Compact"/>
      </w:pPr>
      <w:r>
        <w:t xml:space="preserve">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-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-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6"/>
        </w:numPr>
        <w:pStyle w:val="Compact"/>
      </w:pPr>
      <w:r>
        <w:t xml:space="preserve">Usuário autorizado consegue carregar e baixar com sucesso. - Usuário não autorizado recebe HTTP 403 nas operações de carregamento e listagem. -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7"/>
        </w:numPr>
        <w:pStyle w:val="Compact"/>
      </w:pPr>
      <w:r>
        <w:t xml:space="preserve">TC-004 concluído (workspace do DataArts Studio acessível). -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-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8"/>
        </w:numPr>
        <w:pStyle w:val="Compact"/>
      </w:pPr>
      <w:r>
        <w:t xml:space="preserve">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-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-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configuração-do-ambiente-e-ferramentas"/>
      <w:r>
        <w:rPr>
          <w:sz w:val="112"/>
          <w:szCs w:val="112"/>
        </w:rPr>
        <w:t xml:space="preserve">5</w:t>
      </w:r>
      <w:r>
        <w:tab/>
      </w:r>
      <w:r>
        <w:t xml:space="preserve">Configuração do Ambiente e Ferramentas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9"/>
        </w:numPr>
        <w:pStyle w:val="Compact"/>
      </w:pPr>
      <w:r>
        <w:t xml:space="preserve">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-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-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- Todos os valores de saída estão preenchidos (ID do cluster, nome do bucket, ID da VPC). -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21"/>
        </w:numPr>
        <w:pStyle w:val="Compact"/>
      </w:pPr>
      <w:r>
        <w:t xml:space="preserve">TC-002 concluído (bucket OBS acessível). -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-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2"/>
        </w:numPr>
        <w:pStyle w:val="Compact"/>
      </w:pPr>
      <w:r>
        <w:t xml:space="preserve">Todos os arquivos de dados de teste são carregados sem erros. - A listagem do bucket mostra todos os arquivos carregados com tamanhos corretos. - O checksum do arquivo baixado corresponde ao original local. -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Histórico de versões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 (TC-007, TC-008).</w:t>
      </w:r>
    </w:p>
    <w:p>
      <w:pPr>
        <w:pStyle w:val="BodyText"/>
      </w:pPr>
      <w:r>
        <w:t xml:space="preserve">Adicionados casos de teste de Configuração do Ambiente e Ferramentas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2026-09-13T14:50:33Z</dcterms:created>
  <dcterms:modified xsi:type="dcterms:W3CDTF">2026-09-13T14:50:33Z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