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2026-09-13 23:02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introdução"/>
      <w:r>
        <w:rPr>
          <w:sz w:val="112"/>
          <w:szCs w:val="112"/>
        </w:rPr>
        <w:t xml:space="preserve">1</w:t>
      </w:r>
      <w:r>
        <w:tab/>
      </w:r>
      <w:r>
        <w:t xml:space="preserve">Introdução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4" w:name="casos-de-teste"/>
      <w:r>
        <w:rPr>
          <w:sz w:val="112"/>
          <w:szCs w:val="112"/>
        </w:rPr>
        <w:t xml:space="preserve">2</w:t>
      </w:r>
      <w:r>
        <w:tab/>
      </w:r>
      <w:r>
        <w:t xml:space="preserve">Casos de Teste</w:t>
      </w:r>
      <w:bookmarkEnd w:id="104"/>
    </w:p>
    <w:p>
      <w:pPr>
        <w:pStyle w:val="Heading2"/>
      </w:pPr>
      <w:bookmarkStart w:id="105" w:name="arquitetura-da-plataforma"/>
      <w:r>
        <w:t xml:space="preserve">2.1</w:t>
      </w:r>
      <w:r>
        <w:t xml:space="preserve"> Arquitetura da Plataforma</w:t>
      </w:r>
      <w:bookmarkEnd w:id="105"/>
    </w:p>
    <w:p>
      <w:pPr>
        <w:pStyle w:val="BodyText"/>
      </w:pPr>
      <w:r>
        <w:rPr>
          <w:bCs/>
          <w:b/>
        </w:rPr>
        <w:t xml:space="preserve">Caso de Teste 1:</w:t>
      </w:r>
      <w:r>
        <w:t xml:space="preserve"> </w:t>
      </w:r>
      <w:r>
        <w:t xml:space="preserve">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 com os componentes necessários (HDFS, YARN, Spark, Hive) e que todos os nós apresentam status saudável.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Aplicação da infraestrutura Terraform concluída com sucesso. 2. ID do cluster MRS disponível na saída do Terraform. 3. Usuário IAM possui função</w:t>
      </w:r>
      <w:r>
        <w:t xml:space="preserve"> </w:t>
      </w:r>
      <w:r>
        <w:rPr>
          <w:bCs/>
          <w:b/>
        </w:rPr>
        <w:t xml:space="preserve">MRS_Viewer</w:t>
      </w:r>
      <w:r>
        <w:t xml:space="preserve"> </w:t>
      </w:r>
      <w:r>
        <w:t xml:space="preserve">ou superior.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do Huawei Cloud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MapReduce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Clusters</w:t>
      </w:r>
      <w:r>
        <w:t xml:space="preserve"> </w:t>
      </w:r>
      <w:r>
        <w:t xml:space="preserve">3. Localizar cluster</w:t>
      </w:r>
      <w:r>
        <w:t xml:space="preserve"> </w:t>
      </w:r>
      <w:r>
        <w:rPr>
          <w:rStyle w:val="VerbatimChar"/>
        </w:rPr>
        <w:t xml:space="preserve">mrs-poc-cluster</w:t>
      </w:r>
      <w:r>
        <w:t xml:space="preserve"> </w:t>
      </w:r>
      <w:r>
        <w:t xml:space="preserve">4. Verificar status do cluster 5. Revisar aba Componente 6. Revisar aba Nó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Status do cluster é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Todos os quatro componentes (HDFS, YARN, Spark, Hive) estão listados com status</w:t>
      </w:r>
      <w:r>
        <w:t xml:space="preserve"> </w:t>
      </w:r>
      <w:r>
        <w:rPr>
          <w:bCs/>
          <w:b/>
        </w:rPr>
        <w:t xml:space="preserve">Normal</w:t>
      </w:r>
      <w:r>
        <w:t xml:space="preserve">. 3. Todos os nós apresentam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sem alarmes.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</w:t>
      </w:r>
      <w:r>
        <w:t xml:space="preserve"> </w:t>
      </w:r>
      <w:r>
        <w:rPr>
          <w:bCs/>
          <w:b/>
        </w:rPr>
        <w:t xml:space="preserve">Anormal</w:t>
      </w:r>
      <w:r>
        <w:t xml:space="preserve">, verificar a página de alarmes do MRS antes de registrar o resultado.</w:t>
      </w:r>
    </w:p>
    <w:p>
      <w:pPr>
        <w:pStyle w:val="FirstParagraph"/>
      </w:pPr>
      <w:r>
        <w:rPr>
          <w:bCs/>
          <w:b/>
        </w:rPr>
        <w:t xml:space="preserve">Caso de Teste 2:</w:t>
      </w:r>
      <w:r>
        <w:t xml:space="preserve"> </w:t>
      </w:r>
      <w:r>
        <w:t xml:space="preserve">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 para o data lake da POC está criado, possui a classe de armazenamento correta 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Nome do bucket OBS definido na configuração Terraform. 2. Política IAM concedendo acesso de leitura/escrita ao bucket está anexada ao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t xml:space="preserve">3. Localizar o bucket (ex.: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) 4. Verificar se a classe de armazenamento é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5. Carregar um arquivo de teste (</w:t>
      </w:r>
      <w:r>
        <w:rPr>
          <w:rStyle w:val="VerbatimChar"/>
        </w:rPr>
        <w:t xml:space="preserve">test-upload.txt</w:t>
      </w:r>
      <w:r>
        <w:t xml:space="preserve">) no bucket 6. Baixar o arquivo e comparar seu conteúdo com o original 7. Excluir o arquivo de teste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bucket existe com classe de armazenamento</w:t>
      </w:r>
      <w:r>
        <w:t xml:space="preserve"> </w:t>
      </w:r>
      <w:r>
        <w:rPr>
          <w:bCs/>
          <w:b/>
        </w:rPr>
        <w:t xml:space="preserve">Standard</w:t>
      </w:r>
      <w:r>
        <w:t xml:space="preserve">. 2. O carregamento do arquivo conclui sem erro. 3. O conteúdo do arquivo baixado corresponde ao original. 4. A exclusão do arquivo é realizada com sucesso.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FirstParagraph"/>
      </w:pPr>
      <w:r>
        <w:rPr>
          <w:bCs/>
          <w:b/>
        </w:rPr>
        <w:t xml:space="preserve">Caso de Teste 3:</w:t>
      </w:r>
      <w:r>
        <w:t xml:space="preserve"> </w:t>
      </w:r>
      <w:r>
        <w:t xml:space="preserve">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 configurados conforme o diagrama de arquitetura de rede, com os blocos CIDR e regras de entrada/saída corretos.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IDs da VPC e da sub-rede disponíveis na saída do Terraform. 2. Nomes dos grupos de segurança documentados na arquitetura da solução.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Virtual Private Cloud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VPCs</w:t>
      </w:r>
      <w:r>
        <w:t xml:space="preserve"> </w:t>
      </w:r>
      <w:r>
        <w:t xml:space="preserve">3. Localizar a VPC (ex.:</w:t>
      </w:r>
      <w:r>
        <w:t xml:space="preserve"> </w:t>
      </w:r>
      <w:r>
        <w:rPr>
          <w:rStyle w:val="VerbatimChar"/>
        </w:rPr>
        <w:t xml:space="preserve">vpc-poc</w:t>
      </w:r>
      <w:r>
        <w:t xml:space="preserve">) e verificar se o bloco CIDR corresponde à arquitetura (ex.: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) 4. Clicar na sub-rede e verificar seu CIDR (ex.: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) 5. Navegar até</w:t>
      </w:r>
      <w:r>
        <w:t xml:space="preserve"> </w:t>
      </w:r>
      <w:r>
        <w:rPr>
          <w:bCs/>
          <w:b/>
        </w:rPr>
        <w:t xml:space="preserve">Security Groups</w:t>
      </w:r>
      <w:r>
        <w:t xml:space="preserve"> </w:t>
      </w:r>
      <w:r>
        <w:t xml:space="preserve">e verificar regras de entrada: TCP 22 da sub-rede bastion, TCP 443 do proxy corporativo 6. Verificar se as regras de saída permitem todo o tráfego (padrão)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CIDR da VPC é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. 2. CIDR da sub-rede é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. 3. Regras de entrada correspondem à arquitetura: TCP 22 e TCP 443 das origens especificadas. 4. Saída permite todo o tráfego.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pPr>
        <w:pStyle w:val="Heading2"/>
      </w:pPr>
      <w:bookmarkStart w:id="106" w:name="engenharia-de-dados"/>
      <w:r>
        <w:t xml:space="preserve">2.2</w:t>
      </w:r>
      <w:r>
        <w:t xml:space="preserve"> Engenharia de Dados</w:t>
      </w:r>
      <w:bookmarkEnd w:id="106"/>
    </w:p>
    <w:p>
      <w:pPr>
        <w:pStyle w:val="FirstParagraph"/>
      </w:pPr>
      <w:r>
        <w:rPr>
          <w:bCs/>
          <w:b/>
        </w:rPr>
        <w:t xml:space="preserve">Caso de Teste 4:</w:t>
      </w:r>
      <w:r>
        <w:t xml:space="preserve"> </w:t>
      </w:r>
      <w:r>
        <w:t xml:space="preserve">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 provisionada, o workspace está acessível e os usuários IAM designados conseguem acessar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Instância do DataArts Studio provisionada e com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Usuário IAM de teste possui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com o usuário IAM de teste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DataArts Studio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Workspaces</w:t>
      </w:r>
      <w:r>
        <w:t xml:space="preserve"> </w:t>
      </w:r>
      <w:r>
        <w:t xml:space="preserve">3. Localizar o workspace (ex.:</w:t>
      </w:r>
      <w:r>
        <w:t xml:space="preserve"> </w:t>
      </w:r>
      <w:r>
        <w:rPr>
          <w:rStyle w:val="VerbatimChar"/>
        </w:rPr>
        <w:t xml:space="preserve">poc-workspace</w:t>
      </w:r>
      <w:r>
        <w:t xml:space="preserve">) 4. Clicar em</w:t>
      </w:r>
      <w:r>
        <w:t xml:space="preserve"> </w:t>
      </w:r>
      <w:r>
        <w:rPr>
          <w:bCs/>
          <w:b/>
        </w:rPr>
        <w:t xml:space="preserve">Acessar Workspace</w:t>
      </w:r>
      <w:r>
        <w:t xml:space="preserve"> </w:t>
      </w:r>
      <w:r>
        <w:t xml:space="preserve">para abrir o console do DataArts Studio 5. Verificar se o painel de navegação à esquerda carrega com os módulos esperados:</w:t>
      </w:r>
      <w:r>
        <w:t xml:space="preserve"> </w:t>
      </w:r>
      <w:r>
        <w:rPr>
          <w:bCs/>
          <w:b/>
        </w:rPr>
        <w:t xml:space="preserve">Integração de Dados</w:t>
      </w:r>
      <w:r>
        <w:t xml:space="preserve">,</w:t>
      </w:r>
      <w:r>
        <w:t xml:space="preserve"> </w:t>
      </w:r>
      <w:r>
        <w:rPr>
          <w:bCs/>
          <w:b/>
        </w:rPr>
        <w:t xml:space="preserve">Desenvolvimento de Dados</w:t>
      </w:r>
      <w:r>
        <w:t xml:space="preserve">,</w:t>
      </w:r>
      <w:r>
        <w:t xml:space="preserve"> </w:t>
      </w:r>
      <w:r>
        <w:rPr>
          <w:bCs/>
          <w:b/>
        </w:rPr>
        <w:t xml:space="preserve">Arquitetura de Dados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workspace está listado e acessível. 2. O console do DataArts Studio abre sem erros. 3. Todos os três módulos (Integração de Dados, Desenvolvimento de Dados, Arquitetura de Dados) estão visíveis na navegação.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FirstParagraph"/>
      </w:pPr>
      <w:r>
        <w:rPr>
          <w:bCs/>
          <w:b/>
        </w:rPr>
        <w:t xml:space="preserve">Caso de Teste 5:</w:t>
      </w:r>
      <w:r>
        <w:t xml:space="preserve"> </w:t>
      </w:r>
      <w:r>
        <w:t xml:space="preserve">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 ingerir dados CSV do OBS, aplicar uma transformação básica 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Arquivo CSV de origem (</w:t>
      </w:r>
      <w:r>
        <w:rPr>
          <w:rStyle w:val="VerbatimChar"/>
        </w:rPr>
        <w:t xml:space="preserve">customers.csv</w:t>
      </w:r>
      <w:r>
        <w:t xml:space="preserve">) existe no bucket OBS raw. 3. Caminho OBS de destino (</w:t>
      </w:r>
      <w:r>
        <w:rPr>
          <w:rStyle w:val="VerbatimChar"/>
        </w:rPr>
        <w:t xml:space="preserve">poc-datalake-curated/customers/</w:t>
      </w:r>
      <w:r>
        <w:t xml:space="preserve">) está configurado. 4.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está publicado no DataArts Studio.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Desenvolvimento de Dados no DataArts Studio 2. Localizar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3. Clicar em Executar para iniciar o pipeline 4. Aguardar status do pipeline (timeout: 10 min) 5. Verificar arquivo de saída no OBS 6. Baixar e verificar contagem de linhas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A execução do pipeline conclui com status</w:t>
      </w:r>
      <w:r>
        <w:t xml:space="preserve"> </w:t>
      </w:r>
      <w:r>
        <w:rPr>
          <w:bCs/>
          <w:b/>
        </w:rPr>
        <w:t xml:space="preserve">Sucesso</w:t>
      </w:r>
      <w:r>
        <w:t xml:space="preserve">. 2. O arquivo de saída é criado no caminho OBS de destino. 3. A contagem de linhas do arquivo de saída corresponde ao arquivo de origem.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FirstParagraph"/>
      </w:pPr>
      <w:r>
        <w:rPr>
          <w:bCs/>
          <w:b/>
        </w:rPr>
        <w:t xml:space="preserve">Caso de Teste 6:</w:t>
      </w:r>
      <w:r>
        <w:t xml:space="preserve"> </w:t>
      </w:r>
      <w:r>
        <w:t xml:space="preserve">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 cluster MRS para ler dados de uma tabela Hive e retornar resultados 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1 concluído (cluster MRS saudável). 2. Tabela Hive</w:t>
      </w:r>
      <w:r>
        <w:t xml:space="preserve"> </w:t>
      </w:r>
      <w:r>
        <w:rPr>
          <w:rStyle w:val="VerbatimChar"/>
        </w:rPr>
        <w:t xml:space="preserve">poc_db.customers</w:t>
      </w:r>
      <w:r>
        <w:t xml:space="preserve"> </w:t>
      </w:r>
      <w:r>
        <w:t xml:space="preserve">existe e contém dados carregados pelo pipeline de ingestão. 3. Acesso SSH ao nó master do MRS configurado.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nó master do MRS via SSH 2. Executar a CLI do Spark SQL:</w:t>
      </w:r>
      <w:r>
        <w:t xml:space="preserve"> </w:t>
      </w:r>
      <w:r>
        <w:rPr>
          <w:rStyle w:val="VerbatimChar"/>
        </w:rPr>
        <w:t xml:space="preserve">spark-sql –master yarn --conf spark.sql.hive.convertMetastoreOrc=true -e "SELECT COUNT(*) FROM poc_db.customers;"</w:t>
      </w:r>
      <w:r>
        <w:t xml:space="preserve"> </w:t>
      </w:r>
      <w:r>
        <w:t xml:space="preserve">3. Verificar se a contagem retornada corresponde ao esperado (10.000) 4. Executar uma consulta de amostra para verificar a integridade dos dados:</w:t>
      </w:r>
      <w:r>
        <w:t xml:space="preserve"> </w:t>
      </w:r>
      <w:r>
        <w:rPr>
          <w:rStyle w:val="VerbatimChar"/>
        </w:rPr>
        <w:t xml:space="preserve">spark-sql –master yarn -e "SELECT customer_id, name FROM poc_db.customers LIMIT 5;"</w:t>
      </w:r>
      <w:r>
        <w:t xml:space="preserve"> </w:t>
      </w:r>
      <w:r>
        <w:t xml:space="preserve">5. Confirmar que a consulta retorna 5 linhas com valores não nulos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retorna 10.000. 2. A consulta de amostra retorna 5 linhas com valores válidos de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pPr>
        <w:pStyle w:val="Heading2"/>
      </w:pPr>
      <w:bookmarkStart w:id="107" w:name="segurança-e-controle-de-acesso"/>
      <w:r>
        <w:t xml:space="preserve">2.3</w:t>
      </w:r>
      <w:r>
        <w:t xml:space="preserve"> Segurança e Controle de Acesso</w:t>
      </w:r>
      <w:bookmarkEnd w:id="107"/>
    </w:p>
    <w:p>
      <w:pPr>
        <w:pStyle w:val="FirstParagraph"/>
      </w:pPr>
      <w:r>
        <w:rPr>
          <w:bCs/>
          <w:b/>
        </w:rPr>
        <w:t xml:space="preserve">Caso de Teste 7:</w:t>
      </w:r>
      <w:r>
        <w:t xml:space="preserve"> </w:t>
      </w:r>
      <w:r>
        <w:t xml:space="preserve">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 ao bucket OBS — usuários autorizados podem ler/escrever enquanto usuários não autorizados são negados, e a política do bucket segue o princípio do menor privilégio.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Bucket OBS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existe com a política IAM designada. 2. Dois usuários IAM de teste: um com função</w:t>
      </w:r>
      <w:r>
        <w:t xml:space="preserve"> </w:t>
      </w:r>
      <w:r>
        <w:rPr>
          <w:bCs/>
          <w:b/>
        </w:rPr>
        <w:t xml:space="preserve">OBS_ReadWrite</w:t>
      </w:r>
      <w:r>
        <w:t xml:space="preserve">, outro sem permissões OBS.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para ambos os usuários.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Usando o usuário autorizado, carregar um arquivo de teste em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2. Usando o usuário autorizado, baixar e verificar o conteúdo do arquivo 3. Usando o usuário não autorizado, tentar carregar um arquivo — verificar se a requisição é negada (HTTP 403) 4. Usando o usuário não autorizado, tentar listar objetos no bucket — verificar se a requisição é negada 5. Revisar a política do bucket no Console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Bucket Policies</w:t>
      </w:r>
      <w:r>
        <w:t xml:space="preserve"> </w:t>
      </w:r>
      <w:r>
        <w:t xml:space="preserve">e confirmar que concede apenas as permissões pretendidas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Usuário autorizado consegue carregar e baixar com sucesso. 2. Usuário não autorizado recebe HTTP 403 nas operações de carregamento e listagem. 3. Política do bucket concede apenas as permissões de leitura/escrita pretendidas às funções designadas.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FirstParagraph"/>
      </w:pPr>
      <w:r>
        <w:rPr>
          <w:bCs/>
          <w:b/>
        </w:rPr>
        <w:t xml:space="preserve">Caso de Teste 8:</w:t>
      </w:r>
      <w:r>
        <w:t xml:space="preserve"> </w:t>
      </w:r>
      <w:r>
        <w:t xml:space="preserve">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 mascaradas conforme a regra de mascaramento do DataArts Studio quando 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Regra de mascaramento configurada para a coluna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(Número de Seguro Social). 3. Usuário de teste possui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(não administrador).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No console do DataArts Studio, navegar até</w:t>
      </w:r>
      <w:r>
        <w:t xml:space="preserve"> </w:t>
      </w:r>
      <w:r>
        <w:rPr>
          <w:bCs/>
          <w:b/>
        </w:rPr>
        <w:t xml:space="preserve">Arquitetura de Dados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Mascaramento de Dados</w:t>
      </w:r>
      <w:r>
        <w:t xml:space="preserve"> </w:t>
      </w:r>
      <w:r>
        <w:t xml:space="preserve">2. Verificar se a regra de mascaramento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está ativa e utiliza a estratégia</w:t>
      </w:r>
      <w:r>
        <w:t xml:space="preserve"> </w:t>
      </w:r>
      <w:r>
        <w:rPr>
          <w:bCs/>
          <w:b/>
        </w:rPr>
        <w:t xml:space="preserve">Mascarar Tudo</w:t>
      </w:r>
      <w:r>
        <w:t xml:space="preserve"> </w:t>
      </w:r>
      <w:r>
        <w:t xml:space="preserve">3. Consultar a tabela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como usuário de teste via console SQL do DataArts Studio 4. Verificar se 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retorna valores mascarados (ex.:</w:t>
      </w:r>
      <w:r>
        <w:t xml:space="preserve"> </w:t>
      </w:r>
      <w:r>
        <w:rPr>
          <w:rStyle w:val="VerbatimChar"/>
        </w:rPr>
        <w:t xml:space="preserve">*********</w:t>
      </w:r>
      <w:r>
        <w:t xml:space="preserve">) em vez dos dados reais 5. Consultar a mesma tabela como usuário administrador e verificar se os valores reais são retornados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Regra de mascaramento ativa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. 2. Usuário não administrador visualiza valores mascarados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 3. Usuário administrador visualiza valores reais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pPr>
        <w:pStyle w:val="Heading2"/>
      </w:pPr>
      <w:bookmarkStart w:id="108" w:name="configuração-de-ambiente-e-ferramentas"/>
      <w:r>
        <w:t xml:space="preserve">2.4</w:t>
      </w:r>
      <w:r>
        <w:t xml:space="preserve"> Configuração de Ambiente e Ferramentas</w:t>
      </w:r>
      <w:bookmarkEnd w:id="108"/>
    </w:p>
    <w:p>
      <w:pPr>
        <w:pStyle w:val="FirstParagraph"/>
      </w:pPr>
      <w:r>
        <w:rPr>
          <w:bCs/>
          <w:b/>
        </w:rPr>
        <w:t xml:space="preserve">Caso de Teste 9:</w:t>
      </w:r>
      <w:r>
        <w:t xml:space="preserve"> </w:t>
      </w:r>
      <w:r>
        <w:t xml:space="preserve">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 recursos de infraestrutura necessários (VPC, MRS, OBS, DataArts Studio) 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CLI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 (versão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1.0). 2. Credenciais AK/SK configuradas via variáveis de ambiente ou</w:t>
      </w:r>
      <w:r>
        <w:t xml:space="preserve"> </w:t>
      </w:r>
      <w:r>
        <w:rPr>
          <w:iCs/>
          <w:i/>
        </w:rPr>
        <w:t xml:space="preserve">provider.tf</w:t>
      </w:r>
      <w:r>
        <w:t xml:space="preserve">. 3. Arquivos de configuração Terraform no diretório do projeto.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o diretório do projeto Terraform 2. Executar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para inicializar o diretório de trabalho 3. Executar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e revisar as alterações planejadas — confirmar que todos os recursos esperados estão listados 4. Executar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 </w:t>
      </w:r>
      <w:r>
        <w:t xml:space="preserve">e aguardar a conclusão 5. Executar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e verificar se todos os valores de saída estão preenchidos 6. Executar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 </w:t>
      </w:r>
      <w:r>
        <w:t xml:space="preserve">e confirmar que a contagem de recursos corresponde à arquitetura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conclui sem erros. 2. Todos os valores de saída estão preenchidos (ID do cluster, nome do bucket, ID da VPC). 3. Contagem de recursos no estado corresponde à especificação da arquitetura.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falhar, verificar as credenciais AK/SK e os limites de cota da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Caso de Teste 10:</w:t>
      </w:r>
      <w:r>
        <w:t xml:space="preserve"> </w:t>
      </w:r>
      <w:r>
        <w:t xml:space="preserve">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 (CSV, JSON) podem ser carregados no bucket OBS designado e são acessíveis pelo pipeline do DataArts Studio.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2 concluído (bucket OBS acessível). 2. Arquivos de dados de teste preparados no diretório local</w:t>
      </w:r>
      <w:r>
        <w:t xml:space="preserve"> </w:t>
      </w:r>
      <w:r>
        <w:rPr>
          <w:iCs/>
          <w:i/>
        </w:rPr>
        <w:t xml:space="preserve">./test-data/</w:t>
      </w:r>
      <w:r>
        <w:t xml:space="preserve">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com as credenciais do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Listar os arquivos de dados de teste locais e verificar sua integridade (contagem de linhas, esquema) 2. Carregar todos os arquivos no bucket OBS raw usando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3. Verificar se cada arquivo existe no OBS listando o conteúdo do bucket 4. Baixar um arquivo de amostra do OBS e compará-lo com o original local (checksum) 5. No DataArts Studio, verificar se a conexão de fonte de dados consegue ler os arquivos carregados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Todos os arquivos de dados de teste são carregados sem erros. 2. A listagem do bucket mostra todos os arquivos carregados com tamanhos corretos. 3. O checksum do arquivo baixado corresponde ao original local. 4. A conexão de fonte de dados do DataArts Studio consegue ler os arquivos.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</w:t>
      </w:r>
      <m:oMath>
        <m:r>
          <m:rPr>
            <m:sty m:val="p"/>
          </m:rPr>
          <m:t>&gt;</m:t>
        </m:r>
      </m:oMath>
      <w:r>
        <w:t xml:space="preserve">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conclusão"/>
      <w:r>
        <w:rPr>
          <w:sz w:val="112"/>
          <w:szCs w:val="112"/>
        </w:rPr>
        <w:t xml:space="preserve">3</w:t>
      </w:r>
      <w:r>
        <w:tab/>
      </w:r>
      <w:r>
        <w:t xml:space="preserve">Conclusão</w:t>
      </w:r>
      <w:bookmarkEnd w:id="109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10" w:name="sec-changelog"/>
      <w:r>
        <w:rPr>
          <w:sz w:val="112"/>
          <w:szCs w:val="112"/>
        </w:rPr>
        <w:t xml:space="preserve">4</w:t>
      </w:r>
      <w:r>
        <w:tab/>
      </w:r>
      <w:r>
        <w:t xml:space="preserve">Histórico de versões</w:t>
      </w:r>
      <w:bookmarkEnd w:id="110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Reestruturação do documento para layout de 3 seções: Introdução, Casos de Teste (com subseções por domínio) e Conclusão (com tabela de resumo dos testes).</w:t>
      </w:r>
    </w:p>
    <w:p>
      <w:pPr>
        <w:pStyle w:val="BodyText"/>
      </w:pPr>
      <w:r>
        <w:t xml:space="preserve">Remoção dos prefixos manuais TC-XXX dos títulos dos casos de teste — o ambiente os numera automaticamente como "Caso de Teste 1:", "Caso de Teste 2:", etc.</w:t>
      </w:r>
    </w:p>
    <w:p>
      <w:pPr>
        <w:pStyle w:val="BodyText"/>
      </w:pPr>
      <w:r>
        <w:t xml:space="preserve">Atualização dos IDs do testsummary de TC-XXX para numeração automática 1–10.</w:t>
      </w:r>
    </w:p>
    <w:p>
      <w:pPr>
        <w:pStyle w:val="BodyText"/>
      </w:pPr>
      <w:r>
        <w:t xml:space="preserve">Alteração de teststeps de tabela tabular para parágrafos auto-numerados.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agora aceita 1 argumento (ação apenas). Imagens, blocos de código e callouts podem ser inseridos livremente entre os passos.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Acesso.</w:t>
      </w:r>
    </w:p>
    <w:p>
      <w:pPr>
        <w:pStyle w:val="BodyText"/>
      </w:pPr>
      <w:r>
        <w:t xml:space="preserve">Adicionados casos de teste de Configuração do Ambiente e Ferramentas.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2026-09-13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Plataforma.</w:t>
      </w:r>
    </w:p>
    <w:p>
      <w:pPr>
        <w:pStyle w:val="BodyText"/>
      </w:pPr>
      <w:r>
        <w:t xml:space="preserve">Adicionados casos de teste de Engenharia de Dados.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</dc:language>
  <cp:keywords/>
  <dcterms:created xsi:type="dcterms:W3CDTF">2026-09-14T02:02:15Z</dcterms:created>
  <dcterms:modified xsi:type="dcterms:W3CDTF">2026-09-14T02:02:15Z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