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2026-09-12 19:25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pPr>
        <w:pStyle w:val="Heading2"/>
      </w:pPr>
      <w:bookmarkStart w:id="104" w:name="resumo-dos-casos-de-teste"/>
      <w:r>
        <w:t xml:space="preserve">1.4</w:t>
      </w:r>
      <w:r>
        <w:t xml:space="preserve"> Resumo dos Casos de Teste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</w:t>
      </w:r>
      <w:r>
        <w:t xml:space="preserve"> </w:t>
      </w:r>
      <w:r>
        <w:t xml:space="preserve">com os componentes necessários (HDFS, YARN, Spark, Hive) e que todos os nós</w:t>
      </w:r>
      <w:r>
        <w:t xml:space="preserve"> </w:t>
      </w:r>
      <w:r>
        <w:t xml:space="preserve">apresentam status saudável.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3"/>
        </w:numPr>
        <w:pStyle w:val="Compact"/>
      </w:pPr>
      <w:r>
        <w:t xml:space="preserve">Aplicação da infraestrutura Terraform concluída com sucesso.</w:t>
      </w:r>
    </w:p>
    <w:p>
      <w:pPr>
        <w:numPr>
          <w:ilvl w:val="0"/>
          <w:numId w:val="1003"/>
        </w:numPr>
        <w:pStyle w:val="Compact"/>
      </w:pPr>
      <w:r>
        <w:t xml:space="preserve">ID do cluster MRS disponível na saída do Terraform.</w:t>
      </w:r>
    </w:p>
    <w:p>
      <w:pPr>
        <w:numPr>
          <w:ilvl w:val="0"/>
          <w:numId w:val="1003"/>
        </w:numPr>
        <w:pStyle w:val="Compact"/>
      </w:pPr>
      <w:r>
        <w:t xml:space="preserve">Usuário IAM possui função MRS_Viewer ou superior.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4"/>
        </w:numPr>
        <w:pStyle w:val="Compact"/>
      </w:pPr>
      <w:r>
        <w:t xml:space="preserve">Acessar o Console do Huawei Cloud</w:t>
      </w:r>
    </w:p>
    <w:p>
      <w:pPr>
        <w:numPr>
          <w:ilvl w:val="0"/>
          <w:numId w:val="1004"/>
        </w:numPr>
        <w:pStyle w:val="Compact"/>
      </w:pPr>
      <w:r>
        <w:t xml:space="preserve">Navegar em Console, MapReduce Service, Clusters</w:t>
      </w:r>
    </w:p>
    <w:p>
      <w:pPr>
        <w:numPr>
          <w:ilvl w:val="0"/>
          <w:numId w:val="1004"/>
        </w:numPr>
        <w:pStyle w:val="Compact"/>
      </w:pPr>
      <w:r>
        <w:t xml:space="preserve">Localizar cluster mrs-poc-cluster</w:t>
      </w:r>
    </w:p>
    <w:p>
      <w:pPr>
        <w:numPr>
          <w:ilvl w:val="0"/>
          <w:numId w:val="1004"/>
        </w:numPr>
        <w:pStyle w:val="Compact"/>
      </w:pPr>
      <w:r>
        <w:t xml:space="preserve">Verificar status do cluster</w:t>
      </w:r>
    </w:p>
    <w:p>
      <w:pPr>
        <w:numPr>
          <w:ilvl w:val="0"/>
          <w:numId w:val="1004"/>
        </w:numPr>
        <w:pStyle w:val="Compact"/>
      </w:pPr>
      <w:r>
        <w:t xml:space="preserve">Revisar aba Componente</w:t>
      </w:r>
    </w:p>
    <w:p>
      <w:pPr>
        <w:numPr>
          <w:ilvl w:val="0"/>
          <w:numId w:val="1004"/>
        </w:numPr>
        <w:pStyle w:val="Compact"/>
      </w:pPr>
      <w:r>
        <w:t xml:space="preserve">Revisar aba Nó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5"/>
        </w:numPr>
        <w:pStyle w:val="Compact"/>
      </w:pPr>
      <w:r>
        <w:t xml:space="preserve">Status do cluster é Executando.</w:t>
      </w:r>
    </w:p>
    <w:p>
      <w:pPr>
        <w:numPr>
          <w:ilvl w:val="0"/>
          <w:numId w:val="1005"/>
        </w:numPr>
        <w:pStyle w:val="Compact"/>
      </w:pPr>
      <w:r>
        <w:t xml:space="preserve">Todos os quatro componentes (HDFS, YARN, Spark, Hive) estão listados com status Normal.</w:t>
      </w:r>
    </w:p>
    <w:p>
      <w:pPr>
        <w:numPr>
          <w:ilvl w:val="0"/>
          <w:numId w:val="1005"/>
        </w:numPr>
        <w:pStyle w:val="Compact"/>
      </w:pPr>
      <w:r>
        <w:t xml:space="preserve">Todos os nós apresentam status Executando 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 Anormal, verificar a página de alarmes do MRS antes de registrar o resultado.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</w:t>
      </w:r>
      <w:r>
        <w:t xml:space="preserve"> </w:t>
      </w:r>
      <w:r>
        <w:t xml:space="preserve">para o data lake da POC está criado, possui a classe de armazenamento correta</w:t>
      </w:r>
      <w:r>
        <w:t xml:space="preserve"> </w:t>
      </w:r>
      <w:r>
        <w:t xml:space="preserve">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6"/>
        </w:numPr>
        <w:pStyle w:val="Compact"/>
      </w:pPr>
      <w:r>
        <w:t xml:space="preserve">Nome do bucket OBS definido na configuração Terraform.</w:t>
      </w:r>
    </w:p>
    <w:p>
      <w:pPr>
        <w:numPr>
          <w:ilvl w:val="0"/>
          <w:numId w:val="1006"/>
        </w:numPr>
        <w:pStyle w:val="Compact"/>
      </w:pPr>
      <w:r>
        <w:t xml:space="preserve">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07"/>
        </w:numPr>
        <w:pStyle w:val="Compact"/>
      </w:pPr>
      <w:r>
        <w:t xml:space="preserve">Acessar o Console</w:t>
      </w:r>
    </w:p>
    <w:p>
      <w:pPr>
        <w:numPr>
          <w:ilvl w:val="0"/>
          <w:numId w:val="1007"/>
        </w:numPr>
        <w:pStyle w:val="Compact"/>
      </w:pPr>
      <w:r>
        <w:t xml:space="preserve">Navegar em Console, Object Storage Service</w:t>
      </w:r>
    </w:p>
    <w:p>
      <w:pPr>
        <w:numPr>
          <w:ilvl w:val="0"/>
          <w:numId w:val="1007"/>
        </w:numPr>
        <w:pStyle w:val="Compact"/>
      </w:pPr>
      <w:r>
        <w:t xml:space="preserve">Localizar o bucket (ex.: poc-datalake-raw)</w:t>
      </w:r>
    </w:p>
    <w:p>
      <w:pPr>
        <w:numPr>
          <w:ilvl w:val="0"/>
          <w:numId w:val="1007"/>
        </w:numPr>
        <w:pStyle w:val="Compact"/>
      </w:pPr>
      <w:r>
        <w:t xml:space="preserve">Verificar se a classe de armazenamento é Standard</w:t>
      </w:r>
    </w:p>
    <w:p>
      <w:pPr>
        <w:numPr>
          <w:ilvl w:val="0"/>
          <w:numId w:val="1007"/>
        </w:numPr>
        <w:pStyle w:val="Compact"/>
      </w:pPr>
      <w:r>
        <w:t xml:space="preserve">Carregar um arquivo de teste (test-upload.txt) no bucket</w:t>
      </w:r>
    </w:p>
    <w:p>
      <w:pPr>
        <w:numPr>
          <w:ilvl w:val="0"/>
          <w:numId w:val="1007"/>
        </w:numPr>
        <w:pStyle w:val="Compact"/>
      </w:pPr>
      <w:r>
        <w:t xml:space="preserve">Baixar o arquivo e comparar seu conteúdo com o original</w:t>
      </w:r>
    </w:p>
    <w:p>
      <w:pPr>
        <w:numPr>
          <w:ilvl w:val="0"/>
          <w:numId w:val="1007"/>
        </w:numPr>
        <w:pStyle w:val="Compact"/>
      </w:pPr>
      <w:r>
        <w:t xml:space="preserve">Excluir o arquivo de teste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08"/>
        </w:numPr>
        <w:pStyle w:val="Compact"/>
      </w:pPr>
      <w:r>
        <w:t xml:space="preserve">O bucket existe com classe de armazenamento Standard.</w:t>
      </w:r>
    </w:p>
    <w:p>
      <w:pPr>
        <w:numPr>
          <w:ilvl w:val="0"/>
          <w:numId w:val="1008"/>
        </w:numPr>
        <w:pStyle w:val="Compact"/>
      </w:pPr>
      <w:r>
        <w:t xml:space="preserve">O carregamento do arquivo conclui sem erro.</w:t>
      </w:r>
    </w:p>
    <w:p>
      <w:pPr>
        <w:numPr>
          <w:ilvl w:val="0"/>
          <w:numId w:val="1008"/>
        </w:numPr>
        <w:pStyle w:val="Compact"/>
      </w:pPr>
      <w:r>
        <w:t xml:space="preserve">O conteúdo do arquivo baixado corresponde ao original.</w:t>
      </w:r>
    </w:p>
    <w:p>
      <w:pPr>
        <w:numPr>
          <w:ilvl w:val="0"/>
          <w:numId w:val="1008"/>
        </w:numPr>
        <w:pStyle w:val="Compact"/>
      </w:pPr>
      <w:r>
        <w:t xml:space="preserve">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</w:t>
      </w:r>
      <w:r>
        <w:t xml:space="preserve"> </w:t>
      </w:r>
      <w:r>
        <w:t xml:space="preserve">configurados conforme o diagrama de arquitetura de rede, com os blocos CIDR</w:t>
      </w:r>
      <w:r>
        <w:t xml:space="preserve"> </w:t>
      </w:r>
      <w:r>
        <w:t xml:space="preserve">e regras de entrada/saída corretos.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09"/>
        </w:numPr>
        <w:pStyle w:val="Compact"/>
      </w:pPr>
      <w:r>
        <w:t xml:space="preserve">IDs da VPC e da sub-rede disponíveis na saída do Terraform.</w:t>
      </w:r>
    </w:p>
    <w:p>
      <w:pPr>
        <w:numPr>
          <w:ilvl w:val="0"/>
          <w:numId w:val="1009"/>
        </w:numPr>
        <w:pStyle w:val="Compact"/>
      </w:pPr>
      <w:r>
        <w:t xml:space="preserve">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0"/>
        </w:numPr>
        <w:pStyle w:val="Compact"/>
      </w:pPr>
      <w:r>
        <w:t xml:space="preserve">Acessar o Console</w:t>
      </w:r>
    </w:p>
    <w:p>
      <w:pPr>
        <w:numPr>
          <w:ilvl w:val="0"/>
          <w:numId w:val="1010"/>
        </w:numPr>
        <w:pStyle w:val="Compact"/>
      </w:pPr>
      <w:r>
        <w:t xml:space="preserve">Navegar em Console, Virtual Private Cloud, VPCs</w:t>
      </w:r>
    </w:p>
    <w:p>
      <w:pPr>
        <w:numPr>
          <w:ilvl w:val="0"/>
          <w:numId w:val="1010"/>
        </w:numPr>
        <w:pStyle w:val="Compact"/>
      </w:pPr>
      <w:r>
        <w:t xml:space="preserve">Localizar a VPC (ex.: vpc-poc) e verificar se o bloco CIDR corresponde à arquitetura (ex.: 10.0.0.0/16)</w:t>
      </w:r>
    </w:p>
    <w:p>
      <w:pPr>
        <w:numPr>
          <w:ilvl w:val="0"/>
          <w:numId w:val="1010"/>
        </w:numPr>
        <w:pStyle w:val="Compact"/>
      </w:pPr>
      <w:r>
        <w:t xml:space="preserve">Clicar na sub-rede e verificar seu CIDR (ex.: 10.0.1.0/24)</w:t>
      </w:r>
    </w:p>
    <w:p>
      <w:pPr>
        <w:numPr>
          <w:ilvl w:val="0"/>
          <w:numId w:val="1010"/>
        </w:numPr>
        <w:pStyle w:val="Compact"/>
      </w:pPr>
      <w:r>
        <w:t xml:space="preserve">Navegar até Security Groups e verificar regras de entrada: TCP 22 da sub-rede bastion, TCP 443 do proxy corporativo</w:t>
      </w:r>
    </w:p>
    <w:p>
      <w:pPr>
        <w:numPr>
          <w:ilvl w:val="0"/>
          <w:numId w:val="1010"/>
        </w:numPr>
        <w:pStyle w:val="Compact"/>
      </w:pPr>
      <w:r>
        <w:t xml:space="preserve">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1"/>
        </w:numPr>
        <w:pStyle w:val="Compact"/>
      </w:pPr>
      <w:r>
        <w:t xml:space="preserve">CIDR da VPC é 10.0.0.0/16.</w:t>
      </w:r>
    </w:p>
    <w:p>
      <w:pPr>
        <w:numPr>
          <w:ilvl w:val="0"/>
          <w:numId w:val="1011"/>
        </w:numPr>
        <w:pStyle w:val="Compact"/>
      </w:pPr>
      <w:r>
        <w:t xml:space="preserve">CIDR da sub-rede é 10.0.1.0/24.</w:t>
      </w:r>
    </w:p>
    <w:p>
      <w:pPr>
        <w:numPr>
          <w:ilvl w:val="0"/>
          <w:numId w:val="1011"/>
        </w:numPr>
        <w:pStyle w:val="Compact"/>
      </w:pPr>
      <w:r>
        <w:t xml:space="preserve">Regras de entrada correspondem à arquitetura: TCP 22 e TCP 443 das origens especificadas.</w:t>
      </w:r>
    </w:p>
    <w:p>
      <w:pPr>
        <w:numPr>
          <w:ilvl w:val="0"/>
          <w:numId w:val="1011"/>
        </w:numPr>
        <w:pStyle w:val="Compact"/>
      </w:pPr>
      <w:r>
        <w:t xml:space="preserve">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</w:t>
      </w:r>
      <w:r>
        <w:t xml:space="preserve"> </w:t>
      </w:r>
      <w:r>
        <w:t xml:space="preserve">provisionada, o workspace está acessível e os usuários IAM designados</w:t>
      </w:r>
      <w:r>
        <w:t xml:space="preserve"> </w:t>
      </w:r>
      <w:r>
        <w:t xml:space="preserve">conseguem acessar com a função Dayu_User.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2"/>
        </w:numPr>
        <w:pStyle w:val="Compact"/>
      </w:pPr>
      <w:r>
        <w:t xml:space="preserve">Instância do DataArts Studio provisionada e com status Executando.</w:t>
      </w:r>
    </w:p>
    <w:p>
      <w:pPr>
        <w:numPr>
          <w:ilvl w:val="0"/>
          <w:numId w:val="1012"/>
        </w:numPr>
        <w:pStyle w:val="Compact"/>
      </w:pPr>
      <w:r>
        <w:t xml:space="preserve">Usuário IAM de teste possui a função Dayu_User atribuída.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3"/>
        </w:numPr>
        <w:pStyle w:val="Compact"/>
      </w:pPr>
      <w:r>
        <w:t xml:space="preserve">Acessar o Console com o usuário IAM de teste</w:t>
      </w:r>
    </w:p>
    <w:p>
      <w:pPr>
        <w:numPr>
          <w:ilvl w:val="0"/>
          <w:numId w:val="1013"/>
        </w:numPr>
        <w:pStyle w:val="Compact"/>
      </w:pPr>
      <w:r>
        <w:t xml:space="preserve">Navegar em Console, DataArts Studio, Workspaces</w:t>
      </w:r>
    </w:p>
    <w:p>
      <w:pPr>
        <w:numPr>
          <w:ilvl w:val="0"/>
          <w:numId w:val="1013"/>
        </w:numPr>
        <w:pStyle w:val="Compact"/>
      </w:pPr>
      <w:r>
        <w:t xml:space="preserve">Localizar o workspace (ex.: poc-workspace)</w:t>
      </w:r>
    </w:p>
    <w:p>
      <w:pPr>
        <w:numPr>
          <w:ilvl w:val="0"/>
          <w:numId w:val="1013"/>
        </w:numPr>
        <w:pStyle w:val="Compact"/>
      </w:pPr>
      <w:r>
        <w:t xml:space="preserve">Clicar em Acessar Workspace para abrir o console do DataArts Studio</w:t>
      </w:r>
    </w:p>
    <w:p>
      <w:pPr>
        <w:numPr>
          <w:ilvl w:val="0"/>
          <w:numId w:val="1013"/>
        </w:numPr>
        <w:pStyle w:val="Compact"/>
      </w:pPr>
      <w:r>
        <w:t xml:space="preserve">Verificar se o painel de navegação à esquerda carrega com os módulos esperados: Integração de Dados, Desenvolvimento de Dados, Arquitetura de Dados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4"/>
        </w:numPr>
        <w:pStyle w:val="Compact"/>
      </w:pPr>
      <w:r>
        <w:t xml:space="preserve">O workspace está listado e acessível.</w:t>
      </w:r>
    </w:p>
    <w:p>
      <w:pPr>
        <w:numPr>
          <w:ilvl w:val="0"/>
          <w:numId w:val="1014"/>
        </w:numPr>
        <w:pStyle w:val="Compact"/>
      </w:pPr>
      <w:r>
        <w:t xml:space="preserve">O console do DataArts Studio abre sem erros.</w:t>
      </w:r>
    </w:p>
    <w:p>
      <w:pPr>
        <w:numPr>
          <w:ilvl w:val="0"/>
          <w:numId w:val="1014"/>
        </w:numPr>
        <w:pStyle w:val="Compact"/>
      </w:pPr>
      <w:r>
        <w:t xml:space="preserve">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</w:t>
      </w:r>
      <w:r>
        <w:t xml:space="preserve"> </w:t>
      </w:r>
      <w:r>
        <w:t xml:space="preserve">ingerir dados CSV do OBS, aplicar uma transformação básica</w:t>
      </w:r>
      <w:r>
        <w:t xml:space="preserve"> </w:t>
      </w:r>
      <w:r>
        <w:t xml:space="preserve">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5"/>
        </w:numPr>
        <w:pStyle w:val="Compact"/>
      </w:pPr>
      <w:r>
        <w:t xml:space="preserve">TC-004 concluído (workspace do DataArts Studio acessível).</w:t>
      </w:r>
    </w:p>
    <w:p>
      <w:pPr>
        <w:numPr>
          <w:ilvl w:val="0"/>
          <w:numId w:val="1015"/>
        </w:numPr>
        <w:pStyle w:val="Compact"/>
      </w:pPr>
      <w:r>
        <w:t xml:space="preserve">Arquivo CSV de origem (customers.csv) existe no bucket OBS raw.</w:t>
      </w:r>
    </w:p>
    <w:p>
      <w:pPr>
        <w:numPr>
          <w:ilvl w:val="0"/>
          <w:numId w:val="1015"/>
        </w:numPr>
        <w:pStyle w:val="Compact"/>
      </w:pPr>
      <w:r>
        <w:t xml:space="preserve">Caminho OBS de destino (poc-datalake-curated/customers/) está configurado.</w:t>
      </w:r>
    </w:p>
    <w:p>
      <w:pPr>
        <w:numPr>
          <w:ilvl w:val="0"/>
          <w:numId w:val="1015"/>
        </w:numPr>
        <w:pStyle w:val="Compact"/>
      </w:pPr>
      <w:r>
        <w:t xml:space="preserve">Pipeline pl-ingest-customers está publicado no DataArts Studio.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6"/>
        </w:numPr>
        <w:pStyle w:val="Compact"/>
      </w:pPr>
      <w:r>
        <w:t xml:space="preserve">Navegar até Desenvolvimento de Dados no DataArts Studio</w:t>
      </w:r>
    </w:p>
    <w:p>
      <w:pPr>
        <w:numPr>
          <w:ilvl w:val="0"/>
          <w:numId w:val="1016"/>
        </w:numPr>
        <w:pStyle w:val="Compact"/>
      </w:pPr>
      <w:r>
        <w:t xml:space="preserve">Localizar pipeline pl-ingest-customers</w:t>
      </w:r>
    </w:p>
    <w:p>
      <w:pPr>
        <w:numPr>
          <w:ilvl w:val="0"/>
          <w:numId w:val="1016"/>
        </w:numPr>
        <w:pStyle w:val="Compact"/>
      </w:pPr>
      <w:r>
        <w:t xml:space="preserve">Clicar em Executar para iniciar o pipeline</w:t>
      </w:r>
    </w:p>
    <w:p>
      <w:pPr>
        <w:numPr>
          <w:ilvl w:val="0"/>
          <w:numId w:val="1016"/>
        </w:numPr>
        <w:pStyle w:val="Compact"/>
      </w:pPr>
      <w:r>
        <w:t xml:space="preserve">Aguardar status do pipeline (timeout: 10 min)</w:t>
      </w:r>
    </w:p>
    <w:p>
      <w:pPr>
        <w:numPr>
          <w:ilvl w:val="0"/>
          <w:numId w:val="1016"/>
        </w:numPr>
        <w:pStyle w:val="Compact"/>
      </w:pPr>
      <w:r>
        <w:t xml:space="preserve">Verificar arquivo de saída no OBS</w:t>
      </w:r>
    </w:p>
    <w:p>
      <w:pPr>
        <w:numPr>
          <w:ilvl w:val="0"/>
          <w:numId w:val="1016"/>
        </w:numPr>
        <w:pStyle w:val="Compact"/>
      </w:pPr>
      <w:r>
        <w:t xml:space="preserve">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17"/>
        </w:numPr>
        <w:pStyle w:val="Compact"/>
      </w:pPr>
      <w:r>
        <w:t xml:space="preserve">A execução do pipeline conclui com status Sucesso.</w:t>
      </w:r>
    </w:p>
    <w:p>
      <w:pPr>
        <w:numPr>
          <w:ilvl w:val="0"/>
          <w:numId w:val="1017"/>
        </w:numPr>
        <w:pStyle w:val="Compact"/>
      </w:pPr>
      <w:r>
        <w:t xml:space="preserve">O arquivo de saída é criado no caminho OBS de destino.</w:t>
      </w:r>
    </w:p>
    <w:p>
      <w:pPr>
        <w:numPr>
          <w:ilvl w:val="0"/>
          <w:numId w:val="1017"/>
        </w:numPr>
        <w:pStyle w:val="Compact"/>
      </w:pPr>
      <w:r>
        <w:t xml:space="preserve">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</w:t>
      </w:r>
      <w:r>
        <w:t xml:space="preserve"> </w:t>
      </w:r>
      <w:r>
        <w:t xml:space="preserve">cluster MRS para ler dados de uma tabela Hive e retornar resultados</w:t>
      </w:r>
      <w:r>
        <w:t xml:space="preserve"> </w:t>
      </w:r>
      <w:r>
        <w:t xml:space="preserve">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18"/>
        </w:numPr>
        <w:pStyle w:val="Compact"/>
      </w:pPr>
      <w:r>
        <w:t xml:space="preserve">TC-001 concluído (cluster MRS saudável).</w:t>
      </w:r>
    </w:p>
    <w:p>
      <w:pPr>
        <w:numPr>
          <w:ilvl w:val="0"/>
          <w:numId w:val="1018"/>
        </w:numPr>
        <w:pStyle w:val="Compact"/>
      </w:pPr>
      <w:r>
        <w:t xml:space="preserve">Tabela Hive poc_db.customers existe e contém dados carregados pelo pipeline de ingestão.</w:t>
      </w:r>
    </w:p>
    <w:p>
      <w:pPr>
        <w:numPr>
          <w:ilvl w:val="0"/>
          <w:numId w:val="1018"/>
        </w:numPr>
        <w:pStyle w:val="Compact"/>
      </w:pPr>
      <w:r>
        <w:t xml:space="preserve">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19"/>
        </w:numPr>
        <w:pStyle w:val="Compact"/>
      </w:pPr>
      <w:r>
        <w:t xml:space="preserve">Acessar o nó master do MRS via SSH</w:t>
      </w:r>
    </w:p>
    <w:p>
      <w:pPr>
        <w:numPr>
          <w:ilvl w:val="0"/>
          <w:numId w:val="1019"/>
        </w:numPr>
        <w:pStyle w:val="Compact"/>
      </w:pPr>
      <w:r>
        <w:t xml:space="preserve">Executar a CLI do Spark SQL: spark-sql –master yarn -{}-conf spark.sql.hive.convertMetastoreOrc=true -e “SELECT COUNT(*) FROM poc_db.customers;”</w:t>
      </w:r>
    </w:p>
    <w:p>
      <w:pPr>
        <w:numPr>
          <w:ilvl w:val="0"/>
          <w:numId w:val="1019"/>
        </w:numPr>
        <w:pStyle w:val="Compact"/>
      </w:pPr>
      <w:r>
        <w:t xml:space="preserve">Verificar se a contagem retornada corresponde ao esperado (10.000)</w:t>
      </w:r>
    </w:p>
    <w:p>
      <w:pPr>
        <w:numPr>
          <w:ilvl w:val="0"/>
          <w:numId w:val="1019"/>
        </w:numPr>
        <w:pStyle w:val="Compact"/>
      </w:pPr>
      <w:r>
        <w:t xml:space="preserve">Executar uma consulta de amostra para verificar a integridade dos dados: spark-sql –master yarn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0"/>
        </w:numPr>
        <w:pStyle w:val="Compact"/>
      </w:pPr>
      <w:r>
        <w:t xml:space="preserve">COUNT(*) retorna 10.000.</w:t>
      </w:r>
    </w:p>
    <w:p>
      <w:pPr>
        <w:numPr>
          <w:ilvl w:val="0"/>
          <w:numId w:val="1020"/>
        </w:numPr>
        <w:pStyle w:val="Compact"/>
      </w:pPr>
      <w:r>
        <w:t xml:space="preserve">A consulta de amostra retorna 5 linhas com valores válidos de customer_id e name.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gurança-e-controle-de-acesso"/>
      <w:r>
        <w:rPr>
          <w:sz w:val="112"/>
          <w:szCs w:val="112"/>
        </w:rPr>
        <w:t xml:space="preserve">4</w:t>
      </w:r>
      <w:r>
        <w:tab/>
      </w:r>
      <w:r>
        <w:t xml:space="preserve">Segurança e Controle de Acesso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</w:t>
      </w:r>
      <w:r>
        <w:t xml:space="preserve"> </w:t>
      </w:r>
      <w:r>
        <w:t xml:space="preserve">ao bucket OBS — usuários autorizados podem ler/escrever enquanto usuários</w:t>
      </w:r>
      <w:r>
        <w:t xml:space="preserve"> </w:t>
      </w:r>
      <w:r>
        <w:t xml:space="preserve">não autorizados são negados, e a política do bucket segue o princípio</w:t>
      </w:r>
      <w:r>
        <w:t xml:space="preserve"> </w:t>
      </w:r>
      <w:r>
        <w:t xml:space="preserve">do menor privilégio.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21"/>
        </w:numPr>
        <w:pStyle w:val="Compact"/>
      </w:pPr>
      <w:r>
        <w:t xml:space="preserve">Bucket OBS poc-datalake-raw existe com a política IAM designada.</w:t>
      </w:r>
    </w:p>
    <w:p>
      <w:pPr>
        <w:numPr>
          <w:ilvl w:val="0"/>
          <w:numId w:val="1021"/>
        </w:numPr>
        <w:pStyle w:val="Compact"/>
      </w:pPr>
      <w:r>
        <w:t xml:space="preserve">Dois usuários IAM de teste: um com função OBS_ReadWrite, outro sem permissões OBS.</w:t>
      </w:r>
    </w:p>
    <w:p>
      <w:pPr>
        <w:numPr>
          <w:ilvl w:val="0"/>
          <w:numId w:val="1021"/>
        </w:numPr>
        <w:pStyle w:val="Compact"/>
      </w:pPr>
      <w:r>
        <w:t xml:space="preserve">CLI obsutil configurada para ambos os usuários.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22"/>
        </w:numPr>
        <w:pStyle w:val="Compact"/>
      </w:pPr>
      <w:r>
        <w:t xml:space="preserve">Usando o usuário autorizado, carregar um arquivo de teste em poc-datalake-raw</w:t>
      </w:r>
    </w:p>
    <w:p>
      <w:pPr>
        <w:numPr>
          <w:ilvl w:val="0"/>
          <w:numId w:val="1022"/>
        </w:numPr>
        <w:pStyle w:val="Compact"/>
      </w:pPr>
      <w:r>
        <w:t xml:space="preserve">Usando o usuário autorizado, baixar e verificar o conteúdo do arquivo</w:t>
      </w:r>
    </w:p>
    <w:p>
      <w:pPr>
        <w:numPr>
          <w:ilvl w:val="0"/>
          <w:numId w:val="1022"/>
        </w:numPr>
        <w:pStyle w:val="Compact"/>
      </w:pPr>
      <w:r>
        <w:t xml:space="preserve">Usando o usuário não autorizado, tentar carregar um arquivo — verificar se a requisição é negada (HTTP 403)</w:t>
      </w:r>
    </w:p>
    <w:p>
      <w:pPr>
        <w:numPr>
          <w:ilvl w:val="0"/>
          <w:numId w:val="1022"/>
        </w:numPr>
        <w:pStyle w:val="Compact"/>
      </w:pPr>
      <w:r>
        <w:t xml:space="preserve">Usando o usuário não autorizado, tentar listar objetos no bucket — verificar se a requisição é negada</w:t>
      </w:r>
    </w:p>
    <w:p>
      <w:pPr>
        <w:numPr>
          <w:ilvl w:val="0"/>
          <w:numId w:val="1022"/>
        </w:numPr>
        <w:pStyle w:val="Compact"/>
      </w:pPr>
      <w:r>
        <w:t xml:space="preserve">Revisar a política do bucket no Console em Console, Object Storage Service, Bucket Policies 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3"/>
        </w:numPr>
        <w:pStyle w:val="Compact"/>
      </w:pPr>
      <w:r>
        <w:t xml:space="preserve">Usuário autorizado consegue carregar e baixar com sucesso.</w:t>
      </w:r>
    </w:p>
    <w:p>
      <w:pPr>
        <w:numPr>
          <w:ilvl w:val="0"/>
          <w:numId w:val="1023"/>
        </w:numPr>
        <w:pStyle w:val="Compact"/>
      </w:pPr>
      <w:r>
        <w:t xml:space="preserve">Usuário não autorizado recebe HTTP 403 nas operações de carregamento e listagem.</w:t>
      </w:r>
    </w:p>
    <w:p>
      <w:pPr>
        <w:numPr>
          <w:ilvl w:val="0"/>
          <w:numId w:val="1023"/>
        </w:numPr>
        <w:pStyle w:val="Compact"/>
      </w:pPr>
      <w:r>
        <w:t xml:space="preserve">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</w:t>
      </w:r>
      <w:r>
        <w:t xml:space="preserve"> </w:t>
      </w:r>
      <w:r>
        <w:t xml:space="preserve">mascaradas conforme a regra de mascaramento do DataArts Studio quando</w:t>
      </w:r>
      <w:r>
        <w:t xml:space="preserve"> </w:t>
      </w:r>
      <w:r>
        <w:t xml:space="preserve">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24"/>
        </w:numPr>
        <w:pStyle w:val="Compact"/>
      </w:pPr>
      <w:r>
        <w:t xml:space="preserve">TC-004 concluído (workspace do DataArts Studio acessível).</w:t>
      </w:r>
    </w:p>
    <w:p>
      <w:pPr>
        <w:numPr>
          <w:ilvl w:val="0"/>
          <w:numId w:val="1024"/>
        </w:numPr>
        <w:pStyle w:val="Compact"/>
      </w:pPr>
      <w:r>
        <w:t xml:space="preserve">Regra de mascaramento configurada para a coluna customers.ssn (Número de Seguro Social).</w:t>
      </w:r>
    </w:p>
    <w:p>
      <w:pPr>
        <w:numPr>
          <w:ilvl w:val="0"/>
          <w:numId w:val="1024"/>
        </w:numPr>
        <w:pStyle w:val="Compact"/>
      </w:pPr>
      <w:r>
        <w:t xml:space="preserve">Usuário de teste possui função Dayu_User (não administrador).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25"/>
        </w:numPr>
        <w:pStyle w:val="Compact"/>
      </w:pPr>
      <w:r>
        <w:t xml:space="preserve">No console do DataArts Studio, navegar até Arquitetura de Dados $$ Mascaramento de Dados</w:t>
      </w:r>
    </w:p>
    <w:p>
      <w:pPr>
        <w:numPr>
          <w:ilvl w:val="0"/>
          <w:numId w:val="1025"/>
        </w:numPr>
        <w:pStyle w:val="Compact"/>
      </w:pPr>
      <w:r>
        <w:t xml:space="preserve">Verificar se a regra de mascaramento para customers.ssn está ativa e utiliza a estratégia Mascarar Tudo</w:t>
      </w:r>
    </w:p>
    <w:p>
      <w:pPr>
        <w:numPr>
          <w:ilvl w:val="0"/>
          <w:numId w:val="1025"/>
        </w:numPr>
        <w:pStyle w:val="Compact"/>
      </w:pPr>
      <w:r>
        <w:t xml:space="preserve">Consultar a tabela customers como usuário de teste via console SQL do DataArts Studio</w:t>
      </w:r>
    </w:p>
    <w:p>
      <w:pPr>
        <w:numPr>
          <w:ilvl w:val="0"/>
          <w:numId w:val="1025"/>
        </w:numPr>
        <w:pStyle w:val="Compact"/>
      </w:pPr>
      <w:r>
        <w:t xml:space="preserve">Verificar se a coluna ssn retorna valores mascarados (ex.: *********) em vez dos dados reais</w:t>
      </w:r>
    </w:p>
    <w:p>
      <w:pPr>
        <w:numPr>
          <w:ilvl w:val="0"/>
          <w:numId w:val="1025"/>
        </w:numPr>
        <w:pStyle w:val="Compact"/>
      </w:pPr>
      <w:r>
        <w:t xml:space="preserve">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6"/>
        </w:numPr>
        <w:pStyle w:val="Compact"/>
      </w:pPr>
      <w:r>
        <w:t xml:space="preserve">Regra de mascaramento ativa para customers.ssn.</w:t>
      </w:r>
    </w:p>
    <w:p>
      <w:pPr>
        <w:numPr>
          <w:ilvl w:val="0"/>
          <w:numId w:val="1026"/>
        </w:numPr>
        <w:pStyle w:val="Compact"/>
      </w:pPr>
      <w:r>
        <w:t xml:space="preserve">Usuário não administrador visualiza valores mascarados na coluna ssn.</w:t>
      </w:r>
    </w:p>
    <w:p>
      <w:pPr>
        <w:numPr>
          <w:ilvl w:val="0"/>
          <w:numId w:val="1026"/>
        </w:numPr>
        <w:pStyle w:val="Compact"/>
      </w:pPr>
      <w:r>
        <w:t xml:space="preserve">Usuário administrador visualiza valores reais na coluna ssn.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configuração-do-ambiente-e-ferramentas"/>
      <w:r>
        <w:rPr>
          <w:sz w:val="112"/>
          <w:szCs w:val="112"/>
        </w:rPr>
        <w:t xml:space="preserve">5</w:t>
      </w:r>
      <w:r>
        <w:tab/>
      </w:r>
      <w:r>
        <w:t xml:space="preserve">Configuração do Ambiente e Ferramentas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</w:t>
      </w:r>
      <w:r>
        <w:t xml:space="preserve"> </w:t>
      </w:r>
      <w:r>
        <w:t xml:space="preserve">recursos de infraestrutura necessários (VPC, MRS, OBS, DataArts Studio)</w:t>
      </w:r>
      <w:r>
        <w:t xml:space="preserve"> </w:t>
      </w:r>
      <w:r>
        <w:t xml:space="preserve">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27"/>
        </w:numPr>
        <w:pStyle w:val="Compact"/>
      </w:pPr>
      <w:r>
        <w:t xml:space="preserve">CLI terraform instalada (versão $$ 1.0).</w:t>
      </w:r>
    </w:p>
    <w:p>
      <w:pPr>
        <w:numPr>
          <w:ilvl w:val="0"/>
          <w:numId w:val="1027"/>
        </w:numPr>
        <w:pStyle w:val="Compact"/>
      </w:pPr>
      <w:r>
        <w:t xml:space="preserve">Credenciais AK/SK configuradas via variáveis de ambiente ou provider.tf.</w:t>
      </w:r>
    </w:p>
    <w:p>
      <w:pPr>
        <w:numPr>
          <w:ilvl w:val="0"/>
          <w:numId w:val="1027"/>
        </w:numPr>
        <w:pStyle w:val="Compact"/>
      </w:pPr>
      <w:r>
        <w:t xml:space="preserve">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28"/>
        </w:numPr>
        <w:pStyle w:val="Compact"/>
      </w:pPr>
      <w:r>
        <w:t xml:space="preserve">Navegar até o diretório do projeto Terraform</w:t>
      </w:r>
    </w:p>
    <w:p>
      <w:pPr>
        <w:numPr>
          <w:ilvl w:val="0"/>
          <w:numId w:val="1028"/>
        </w:numPr>
        <w:pStyle w:val="Compact"/>
      </w:pPr>
      <w:r>
        <w:t xml:space="preserve">Executar terraform init para inicializar o diretório de trabalho</w:t>
      </w:r>
    </w:p>
    <w:p>
      <w:pPr>
        <w:numPr>
          <w:ilvl w:val="0"/>
          <w:numId w:val="1028"/>
        </w:numPr>
        <w:pStyle w:val="Compact"/>
      </w:pPr>
      <w:r>
        <w:t xml:space="preserve">Executar terraform plan e revisar as alterações planejadas — confirmar que todos os recursos esperados estão listados</w:t>
      </w:r>
    </w:p>
    <w:p>
      <w:pPr>
        <w:numPr>
          <w:ilvl w:val="0"/>
          <w:numId w:val="1028"/>
        </w:numPr>
        <w:pStyle w:val="Compact"/>
      </w:pPr>
      <w:r>
        <w:t xml:space="preserve">Executar terraform apply -auto-approve e aguardar a conclusão</w:t>
      </w:r>
    </w:p>
    <w:p>
      <w:pPr>
        <w:numPr>
          <w:ilvl w:val="0"/>
          <w:numId w:val="1028"/>
        </w:numPr>
        <w:pStyle w:val="Compact"/>
      </w:pPr>
      <w:r>
        <w:t xml:space="preserve">Executar terraform output e verificar se todos os valores de saída estão preenchidos</w:t>
      </w:r>
    </w:p>
    <w:p>
      <w:pPr>
        <w:numPr>
          <w:ilvl w:val="0"/>
          <w:numId w:val="1028"/>
        </w:numPr>
        <w:pStyle w:val="Compact"/>
      </w:pPr>
      <w:r>
        <w:t xml:space="preserve">Executar terraform state list 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29"/>
        </w:numPr>
        <w:pStyle w:val="Compact"/>
      </w:pPr>
      <w:r>
        <w:t xml:space="preserve">terraform apply conclui sem erros.</w:t>
      </w:r>
    </w:p>
    <w:p>
      <w:pPr>
        <w:numPr>
          <w:ilvl w:val="0"/>
          <w:numId w:val="1029"/>
        </w:numPr>
        <w:pStyle w:val="Compact"/>
      </w:pPr>
      <w:r>
        <w:t xml:space="preserve">Todos os valores de saída estão preenchidos (ID do cluster, nome do bucket, ID da VPC).</w:t>
      </w:r>
    </w:p>
    <w:p>
      <w:pPr>
        <w:numPr>
          <w:ilvl w:val="0"/>
          <w:numId w:val="1029"/>
        </w:numPr>
        <w:pStyle w:val="Compact"/>
      </w:pPr>
      <w:r>
        <w:t xml:space="preserve">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terraform apply falhar, verificar as credenciais AK/SK e os limites de cota da região sa-brazil-1.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</w:t>
      </w:r>
      <w:r>
        <w:t xml:space="preserve"> </w:t>
      </w:r>
      <w:r>
        <w:t xml:space="preserve">(CSV, JSON) podem ser carregados no bucket OBS designado e são acessíveis</w:t>
      </w:r>
      <w:r>
        <w:t xml:space="preserve"> </w:t>
      </w:r>
      <w:r>
        <w:t xml:space="preserve">pelo pipeline do DataArts Studio.</w:t>
      </w:r>
    </w:p>
    <w:p>
      <w:pPr>
        <w:pStyle w:val="DefinitionTerm"/>
      </w:pPr>
      <w:r>
        <w:t xml:space="preserve">Pré-requisitos</w:t>
      </w:r>
    </w:p>
    <w:p>
      <w:pPr>
        <w:numPr>
          <w:ilvl w:val="0"/>
          <w:numId w:val="1030"/>
        </w:numPr>
        <w:pStyle w:val="Compact"/>
      </w:pPr>
      <w:r>
        <w:t xml:space="preserve">TC-002 concluído (bucket OBS acessível).</w:t>
      </w:r>
    </w:p>
    <w:p>
      <w:pPr>
        <w:numPr>
          <w:ilvl w:val="0"/>
          <w:numId w:val="1030"/>
        </w:numPr>
        <w:pStyle w:val="Compact"/>
      </w:pPr>
      <w:r>
        <w:t xml:space="preserve">Arquivos de dados de teste preparados no diretório local ./test-data/.</w:t>
      </w:r>
    </w:p>
    <w:p>
      <w:pPr>
        <w:numPr>
          <w:ilvl w:val="0"/>
          <w:numId w:val="1030"/>
        </w:numPr>
        <w:pStyle w:val="Compact"/>
      </w:pPr>
      <w:r>
        <w:t xml:space="preserve">CLI obsutil 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numPr>
          <w:ilvl w:val="0"/>
          <w:numId w:val="1031"/>
        </w:numPr>
        <w:pStyle w:val="Compact"/>
      </w:pPr>
      <w:r>
        <w:t xml:space="preserve">Listar os arquivos de dados de teste locais e verificar sua integridade (contagem de linhas, esquema)</w:t>
      </w:r>
    </w:p>
    <w:p>
      <w:pPr>
        <w:numPr>
          <w:ilvl w:val="0"/>
          <w:numId w:val="1031"/>
        </w:numPr>
        <w:pStyle w:val="Compact"/>
      </w:pPr>
      <w:r>
        <w:t xml:space="preserve">Carregar todos os arquivos no bucket OBS raw usando obsutil</w:t>
      </w:r>
    </w:p>
    <w:p>
      <w:pPr>
        <w:numPr>
          <w:ilvl w:val="0"/>
          <w:numId w:val="1031"/>
        </w:numPr>
        <w:pStyle w:val="Compact"/>
      </w:pPr>
      <w:r>
        <w:t xml:space="preserve">Verificar se cada arquivo existe no OBS listando o conteúdo do bucket</w:t>
      </w:r>
    </w:p>
    <w:p>
      <w:pPr>
        <w:numPr>
          <w:ilvl w:val="0"/>
          <w:numId w:val="1031"/>
        </w:numPr>
        <w:pStyle w:val="Compact"/>
      </w:pPr>
      <w:r>
        <w:t xml:space="preserve">Baixar um arquivo de amostra do OBS e compará-lo com o original local (checksum)</w:t>
      </w:r>
    </w:p>
    <w:p>
      <w:pPr>
        <w:numPr>
          <w:ilvl w:val="0"/>
          <w:numId w:val="1031"/>
        </w:numPr>
        <w:pStyle w:val="Compact"/>
      </w:pPr>
      <w:r>
        <w:t xml:space="preserve">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numPr>
          <w:ilvl w:val="0"/>
          <w:numId w:val="1032"/>
        </w:numPr>
        <w:pStyle w:val="Compact"/>
      </w:pPr>
      <w:r>
        <w:t xml:space="preserve">Todos os arquivos de dados de teste são carregados sem erros.</w:t>
      </w:r>
    </w:p>
    <w:p>
      <w:pPr>
        <w:numPr>
          <w:ilvl w:val="0"/>
          <w:numId w:val="1032"/>
        </w:numPr>
        <w:pStyle w:val="Compact"/>
      </w:pPr>
      <w:r>
        <w:t xml:space="preserve">A listagem do bucket mostra todos os arquivos carregados com tamanhos corretos.</w:t>
      </w:r>
    </w:p>
    <w:p>
      <w:pPr>
        <w:numPr>
          <w:ilvl w:val="0"/>
          <w:numId w:val="1032"/>
        </w:numPr>
        <w:pStyle w:val="Compact"/>
      </w:pPr>
      <w:r>
        <w:t xml:space="preserve">O checksum do arquivo baixado corresponde ao original local.</w:t>
      </w:r>
    </w:p>
    <w:p>
      <w:pPr>
        <w:numPr>
          <w:ilvl w:val="0"/>
          <w:numId w:val="1032"/>
        </w:numPr>
        <w:pStyle w:val="Compact"/>
      </w:pPr>
      <w:r>
        <w:t xml:space="preserve">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($&gt;$1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Histórico de versões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 (TC-007, TC-008).</w:t>
      </w:r>
    </w:p>
    <w:p>
      <w:pPr>
        <w:pStyle w:val="BodyText"/>
      </w:pPr>
      <w:r>
        <w:t xml:space="preserve">Adicionados casos de teste de Configuração do Ambiente e Ferramentas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80" w:hanging="240"/>
      </w:pPr>
    </w:lvl>
    <w:lvl w:ilvl="1">
      <w:start w:val="1"/>
      <w:numFmt w:val="decimal"/>
      <w:lvlText w:val="%2."/>
      <w:lvlJc w:val="left"/>
      <w:pPr>
        <w:ind w:left="960" w:hanging="240"/>
      </w:pPr>
    </w:lvl>
    <w:lvl w:ilvl="2">
      <w:start w:val="1"/>
      <w:numFmt w:val="decimal"/>
      <w:lvlText w:val="%3."/>
      <w:lvlJc w:val="left"/>
      <w:pPr>
        <w:ind w:left="1440" w:hanging="24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2026-09-12T22:25:34Z</dcterms:created>
  <dcterms:modified xsi:type="dcterms:W3CDTF">2026-09-12T22:25:34Z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