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Casos de Teste POC — Validação da Plataforma de Dados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v1.0.0 — 2026-09-12 05:59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bloco de objetivos, blocos de código, imagens,</w:t>
            </w:r>
            <w:r>
              <w:t xml:space="preserve"> </w:t>
            </w:r>
            <w:r>
              <w:t xml:space="preserve">caixas de destaque, tabelas, badge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descrição-dos-casos-de-teste"/>
      <w:r>
        <w:rPr>
          <w:sz w:val="112"/>
          <w:szCs w:val="112"/>
        </w:rPr>
        <w:t xml:space="preserve">1</w:t>
      </w:r>
      <w:r>
        <w:tab/>
      </w:r>
      <w:r>
        <w:t xml:space="preserve">Descrição dos Casos de Teste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arquitetura-da-plataforma"/>
      <w:r>
        <w:rPr>
          <w:sz w:val="112"/>
          <w:szCs w:val="112"/>
        </w:rPr>
        <w:t xml:space="preserve">2</w:t>
      </w:r>
      <w:r>
        <w:tab/>
      </w:r>
      <w:r>
        <w:t xml:space="preserve">Arquitetura da Plataforma</w:t>
      </w:r>
      <w:bookmarkEnd w:id="104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Verificar implantação e saúde do cluster MRS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o cluster MapReduce Service (MRS) está implantado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com os componentes necessários (HDFS, YARN, Spark, Hive) e que todos os nós</w:t>
      </w:r>
      <w:r>
        <w:br/>
      </w:r>
      <w:r>
        <w:rPr>
          <w:rStyle w:val="VerbatimChar"/>
        </w:rPr>
        <w:t xml:space="preserve">apresentam status saudável. |</w:t>
      </w:r>
    </w:p>
    <w:p>
      <w:pPr>
        <w:pStyle w:val="FirstParagraph"/>
      </w:pPr>
      <w:r>
        <w:t xml:space="preserve">Pré-requisitos | 1. Aplicação da infraestrutura Terraform concluída com sucesso. 2. ID do cluster MRS disponível na saída do Terraform. 3. Usuário IAM possui função MRS_Viewer ou superior. |</w:t>
      </w:r>
      <w:r>
        <w:br/>
      </w:r>
      <w:r>
        <w:t xml:space="preserve">Procedimento | 1. Acessar o Console do Huawei Cloud. 2. Navegar em Console, MapReduce Service, Clusters. 3. Localizar o cluster pelo nome (ex.: mrs-poc-cluster). 4. Verificar se o status do cluster é Executando. 5. Clicar no nome do cluster e revisar a aba Componente — confirmar que HDFS, YARN, Spark e Hive estão listados com status Normal. 6. Revisar a aba Nó — confirmar que todos os nós master e core apresentam status Executando. |</w:t>
      </w:r>
      <w:r>
        <w:br/>
      </w:r>
      <w:r>
        <w:t xml:space="preserve">Resultado Esperado | 1. Status do cluster é Executando. 2. Todos os quatro componentes (HDFS, YARN, Spark, Hive) estão listados com status Normal. 3. Todos os nós apresentam status Executando sem alarmes. |</w:t>
      </w:r>
      <w:r>
        <w:br/>
      </w:r>
      <w:r>
        <w:t xml:space="preserve">Observações | Se algum componente apresentar status Anormal, verificar a página de alarmes do MRS antes de registrar o resultado. |</w:t>
      </w:r>
      <w:r>
        <w:br/>
      </w:r>
      <w:r>
        <w:t xml:space="preserve">Resultado do Teste | Aprovado |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Verificar criação e acessibilidade do bucket OBS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o bucket do Object Storage Service (OBS) utilizado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para o data lake da POC está criado, possui a classe de armazenamento correta</w:t>
      </w:r>
      <w:r>
        <w:br/>
      </w:r>
      <w:r>
        <w:rPr>
          <w:rStyle w:val="VerbatimChar"/>
        </w:rPr>
        <w:t xml:space="preserve">e é acessível com a política IAM designada. |</w:t>
      </w:r>
    </w:p>
    <w:p>
      <w:pPr>
        <w:pStyle w:val="FirstParagraph"/>
      </w:pPr>
      <w:r>
        <w:t xml:space="preserve">Pré-requisitos | 1. Nome do bucket OBS definido na configuração Terraform. 2. Política IAM concedendo acesso de leitura/escrita ao bucket está anexada ao usuário de teste. |</w:t>
      </w:r>
      <w:r>
        <w:br/>
      </w:r>
      <w:r>
        <w:t xml:space="preserve">Procedimento | 1. Acessar o Console. 2. Navegar em Console, Object Storage Service. 3. Localizar o bucket (ex.: poc-datalake-raw). 4. Verificar se a classe de armazenamento é Standard. 5. Carregar um arquivo de teste (test-upload.txt) no bucket. 6. Baixar o arquivo e comparar seu conteúdo com o original. 7. Excluir o arquivo de teste. |</w:t>
      </w:r>
      <w:r>
        <w:br/>
      </w:r>
      <w:r>
        <w:t xml:space="preserve">Resultado Esperado | 1. O bucket existe com classe de armazenamento Standard. 2. O carregamento do arquivo conclui sem erro. 3. O conteúdo do arquivo baixado corresponde ao original. 4. A exclusão do arquivo é realizada com sucesso. |</w:t>
      </w:r>
      <w:r>
        <w:br/>
      </w:r>
      <w:r>
        <w:t xml:space="preserve">Observações | A consistência eventual do OBS pode causar um breve atraso antes que um objeto recém-carregado apareça nas listagens. |</w:t>
      </w:r>
      <w:r>
        <w:br/>
      </w:r>
      <w:r>
        <w:t xml:space="preserve">Resultado do Teste | Aprovado |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Verificar configuração de VPC e grupo de segurança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a VPC, a sub-rede e os grupos de segurança estão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configurados conforme o diagrama de arquitetura de rede, com os blocos CIDR</w:t>
      </w:r>
      <w:r>
        <w:br/>
      </w:r>
      <w:r>
        <w:rPr>
          <w:rStyle w:val="VerbatimChar"/>
        </w:rPr>
        <w:t xml:space="preserve">e regras de entrada/saída corretos. |</w:t>
      </w:r>
    </w:p>
    <w:p>
      <w:pPr>
        <w:pStyle w:val="FirstParagraph"/>
      </w:pPr>
      <w:r>
        <w:t xml:space="preserve">Pré-requisitos | 1. IDs da VPC e da sub-rede disponíveis na saída do Terraform. 2. Nomes dos grupos de segurança documentados na arquitetura da solução. |</w:t>
      </w:r>
      <w:r>
        <w:br/>
      </w:r>
      <w:r>
        <w:t xml:space="preserve">Procedimento | 1. Acessar o Console. 2. Navegar em Console, Virtual Private Cloud, VPCs. 3. Localizar a VPC (ex.: vpc-poc) e verificar se o bloco CIDR corresponde à arquitetura (ex.: 10.0.0.0/16). 4. Clicar na sub-rede e verificar seu CIDR (ex.: 10.0.1.0/24). 5. Navegar até Security Groups e verificar regras de entrada: TCP 22 da sub-rede bastion, TCP 443 do proxy corporativo. 6. Verificar se as regras de saída permitem todo o tráfego (padrão). |</w:t>
      </w:r>
      <w:r>
        <w:br/>
      </w:r>
      <w:r>
        <w:t xml:space="preserve">Resultado Esperado | 1. CIDR da VPC é 10.0.0.0/16. 2. CIDR da sub-rede é 10.0.1.0/24. 3. Regras de entrada correspondem à arquitetura: TCP 22 e TCP 443 das origens especificadas. 4. Saída permite todo o tráfego. |</w:t>
      </w:r>
      <w:r>
        <w:br/>
      </w:r>
      <w:r>
        <w:t xml:space="preserve">Observações | Se o grupo de segurança possuir regras adicionais além da especificação da arquitetura, documentá-las no campo de Observações. |</w:t>
      </w:r>
      <w:r>
        <w:br/>
      </w:r>
      <w:r>
        <w:t xml:space="preserve">Resultado do Teste | Aprovado |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engenharia-de-dados"/>
      <w:r>
        <w:rPr>
          <w:sz w:val="112"/>
          <w:szCs w:val="112"/>
        </w:rPr>
        <w:t xml:space="preserve">3</w:t>
      </w:r>
      <w:r>
        <w:tab/>
      </w:r>
      <w:r>
        <w:t xml:space="preserve">Engenharia de Dados</w:t>
      </w:r>
      <w:bookmarkEnd w:id="105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Verificar criação do workspace do DataArts Studio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a instância do DataArts Studio (Dayu) está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provisionada, o workspace está acessível e os usuários IAM designados</w:t>
      </w:r>
      <w:r>
        <w:br/>
      </w:r>
      <w:r>
        <w:rPr>
          <w:rStyle w:val="VerbatimChar"/>
        </w:rPr>
        <w:t xml:space="preserve">conseguem acessar com a função Dayu\_User. |</w:t>
      </w:r>
    </w:p>
    <w:p>
      <w:pPr>
        <w:pStyle w:val="FirstParagraph"/>
      </w:pPr>
      <w:r>
        <w:t xml:space="preserve">Pré-requisitos | 1. Instância do DataArts Studio provisionada e com status Executando. 2. Usuário IAM de teste possui a função Dayu_User atribuída. |</w:t>
      </w:r>
      <w:r>
        <w:br/>
      </w:r>
      <w:r>
        <w:t xml:space="preserve">Procedimento | 1. Acessar o Console com o usuário IAM de teste. 2. Navegar em Console, DataArts Studio, Workspaces. 3. Localizar o workspace (ex.: poc-workspace). 4. Clicar em Acessar Workspace para abrir o console do DataArts Studio. 5. Verificar se o painel de navegação à esquerda carrega com os módulos esperados: Integração de Dados, Desenvolvimento de Dados, Arquitetura de Dados. |</w:t>
      </w:r>
      <w:r>
        <w:br/>
      </w:r>
      <w:r>
        <w:t xml:space="preserve">Resultado Esperado | 1. O workspace está listado e acessível. 2. O console do DataArts Studio abre sem erros. 3. Todos os três módulos (Integração de Dados, Desenvolvimento de Dados, Arquitetura de Dados) estão visíveis na navegação. |</w:t>
      </w:r>
      <w:r>
        <w:br/>
      </w:r>
      <w:r>
        <w:t xml:space="preserve">Observações | Se o workspace falhar ao carregar, verificar o status da instância Dayu e a atribuição da função IAM. |</w:t>
      </w:r>
      <w:r>
        <w:br/>
      </w:r>
      <w:r>
        <w:t xml:space="preserve">Resultado do Teste | Aprovado |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Verificar execução do pipeline de ingestão de dados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um pipeline em lote do DataArts Studio consegue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ingerir dados CSV do OBS, aplicar uma transformação básica</w:t>
      </w:r>
      <w:r>
        <w:br/>
      </w:r>
      <w:r>
        <w:rPr>
          <w:rStyle w:val="VerbatimChar"/>
        </w:rPr>
        <w:t xml:space="preserve">e gravar o resultado no caminho OBS de destino. |</w:t>
      </w:r>
    </w:p>
    <w:p>
      <w:pPr>
        <w:pStyle w:val="FirstParagraph"/>
      </w:pPr>
      <w:r>
        <w:t xml:space="preserve">Pré-requisitos | 1. TC-004 concluído (workspace do DataArts Studio acessível). 2. Arquivo CSV de origem (customers.csv) existe no bucket OBS raw. 3. Caminho OBS de destino (poc-datalake-curated/customers/) está configurado. 4. Pipeline pl-ingest-customers está publicado no DataArts Studio. |</w:t>
      </w:r>
      <w:r>
        <w:br/>
      </w:r>
      <w:r>
        <w:t xml:space="preserve">Procedimento | 1. No console do DataArts Studio, navegar até Desenvolvimento de Dados. 2. Localizar o pipeline pl-ingest-customers na lista de jobs. 3. Clicar em Executar para iniciar o pipeline. 4. Aguardar o status do pipeline mudar para Sucesso (timeout: 10 minutos). 5. Navegar até o OBS e verificar se o arquivo de saída existe em poc-datalake-curated/customers/. 6. Baixar o arquivo de saída e verificar se a contagem de linhas corresponde à origem (sem perda de dados). |</w:t>
      </w:r>
      <w:r>
        <w:br/>
      </w:r>
      <w:r>
        <w:t xml:space="preserve">Resultado Esperado | 1. A execução do pipeline conclui com status Sucesso. 2. O arquivo de saída é criado no caminho OBS de destino. 3. A contagem de linhas do arquivo de saída corresponde ao arquivo de origem. |</w:t>
      </w:r>
      <w:r>
        <w:br/>
      </w:r>
      <w:r>
        <w:t xml:space="preserve">Observações | O tempo de execução do pipeline varia conforme o volume de dados. Para a POC, o arquivo de origem contém aproximadamente 10.000 linhas. |</w:t>
      </w:r>
      <w:r>
        <w:br/>
      </w:r>
      <w:r>
        <w:t xml:space="preserve">Resultado do Teste | Aprovado |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Verificar consulta Spark SQL no cluster MRS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uma consulta Spark SQL pode ser executada no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cluster MRS para ler dados de uma tabela Hive e retornar resultados</w:t>
      </w:r>
      <w:r>
        <w:br/>
      </w:r>
      <w:r>
        <w:rPr>
          <w:rStyle w:val="VerbatimChar"/>
        </w:rPr>
        <w:t xml:space="preserve">corretos, validando a integração entre o MRS e o data lake. |</w:t>
      </w:r>
    </w:p>
    <w:p>
      <w:pPr>
        <w:pStyle w:val="FirstParagraph"/>
      </w:pPr>
      <w:r>
        <w:t xml:space="preserve">Pré-requisitos | 1. TC-001 concluído (cluster MRS saudável). 2. Tabela Hive poc_db.customers existe e contém dados carregados pelo pipeline de ingestão. 3. Acesso SSH ao nó master do MRS configurado. |</w:t>
      </w:r>
      <w:r>
        <w:br/>
      </w:r>
      <w:r>
        <w:t xml:space="preserve">Procedimento | 1. Acessar o nó master do MRS via SSH. 2. Executar a CLI do Spark SQL: spark-sql –master yarn -{}-conf spark.sql.hive.convertMetastoreOrc=true -e “SELECT COUNT(*) FROM poc_db.customers;” 3. Verificar se a contagem retornada corresponde ao esperado (10.000). 4. Executar uma consulta de amostra para verificar a integridade dos dados: spark-sql –master yarn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  <w:r>
        <w:t xml:space="preserve"> </w:t>
      </w:r>
      <w:r>
        <w:t xml:space="preserve">5. Confirmar que a consulta retorna 5 linhas com valores não nulos. |</w:t>
      </w:r>
      <w:r>
        <w:br/>
      </w:r>
      <w:r>
        <w:t xml:space="preserve">Resultado Esperado | 1. COUNT(*) retorna 10.000. 2. A consulta de amostra retorna 5 linhas com valores válidos de customer_id e name. |</w:t>
      </w:r>
      <w:r>
        <w:br/>
      </w:r>
      <w:r>
        <w:t xml:space="preserve">Observações | Se a CLI do Spark SQL não estiver disponível, utilizar a interface web do componente Spark2x do MRS para submeter a consulta. |</w:t>
      </w:r>
      <w:r>
        <w:br/>
      </w:r>
      <w:r>
        <w:t xml:space="preserve">Resultado do Teste | Aprovado |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06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 (TC-001 a TC-003).</w:t>
      </w:r>
    </w:p>
    <w:p>
      <w:pPr>
        <w:pStyle w:val="BodyText"/>
      </w:pPr>
      <w:r>
        <w:t xml:space="preserve">Adicionados casos de teste de Engenharia de Dados (TC-004 a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Teste POC — Validação da Plataforma de Dados</dc:title>
  <dc:creator/>
  <dc:language>pt</dc:language>
  <cp:keywords/>
  <dcterms:created xsi:type="dcterms:W3CDTF">2026-09-11T21:59:54Z</dcterms:created>
  <dcterms:modified xsi:type="dcterms:W3CDTF">2026-09-11T21:59:54Z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1.0.0</vt:lpwstr>
  </property>
</Properties>
</file>