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Logo"/>
      </w:pPr>
      <w:r>
        <w:drawing>
          <wp:inline>
            <wp:extent cx="1295999" cy="132045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uawei-logo-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2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Text"/>
      </w:pPr>
      <w:r>
        <w:t xml:space="preserve">Huawei Technologies CO., LTD</w:t>
      </w:r>
    </w:p>
    <w:p>
      <w:pPr>
        <w:pStyle w:val="CoverMeta"/>
      </w:pPr>
      <w:r>
        <w:t xml:space="preserve">v2.1.0 — 2026-09-13 22:30</w:t>
      </w:r>
    </w:p>
    <w:p>
      <w:r>
        <w:br w:type="page"/>
      </w:r>
    </w:p>
    <w:p>
      <w:pPr>
        <w:pStyle w:val="TOCTitle"/>
      </w:pPr>
      <w:r>
        <w:t xml:space="preserve">Sumário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 TOC \o "1-3" \h \z \u </w:instrText>
            <w:fldChar w:fldCharType="separate"/>
            <w:fldChar w:fldCharType="end"/>
          </w:r>
        </w:p>
      </w:sdtContent>
    </w:sdt>
    <w:p>
      <w:r>
        <w:br w:type="page"/>
      </w:r>
    </w:p>
    <w:tbl>
      <w:tblPr>
        <w:tblW w:w="9638" w:type="dxa"/>
        <w:tblLayout w:type="fixed"/>
        <w:tblBorders>
          <w:top w:val="none" w:sz="0" w:space="0" w:color="auto"/>
          <w:left w:val="single" w:sz="24" w:space="0" w:color="1565C0"/>
          <w:bottom w:val="none" w:sz="0" w:space="0" w:color="auto"/>
          <w:right w:val="none" w:sz="0" w:space="0" w:color="auto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38" w:type="dxa"/>
            <w:shd w:val="clear" w:color="auto" w:fill="E3F2FD"/>
          </w:tcPr>
          <w:p>
            <w:r>
              <w:rPr>
                <w:rFonts w:ascii="HarmonyOS Sans" w:hAnsi="HarmonyOS Sans"/>
                <w:b/>
                <w:color w:val="1565C0"/>
                <w:sz w:val="21"/>
                <w:szCs w:val="21"/>
              </w:rPr>
              <w:t>Informação</w:t>
            </w:r>
          </w:p>
          <w:p>
            <w:pPr>
              <w:pStyle w:val="BodyText"/>
            </w:pPr>
            <w:r>
              <w:t xml:space="preserve">Este documento demonstra o template</w:t>
            </w:r>
            <w:r>
              <w:t xml:space="preserve"> </w:t>
            </w:r>
            <w:r>
              <w:rPr>
                <w:rStyle w:val="VerbatimChar"/>
              </w:rPr>
              <w:t xml:space="preserve">testbook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testbook.cls</w:t>
            </w:r>
            <w:r>
              <w:t xml:space="preserve">) para</w:t>
            </w:r>
            <w:r>
              <w:t xml:space="preserve"> </w:t>
            </w:r>
            <w:r>
              <w:t xml:space="preserve">documentos de casos de teste POC/aceitação do Huawei Cloud. Ele exercita todos os</w:t>
            </w:r>
            <w:r>
              <w:t xml:space="preserve"> </w:t>
            </w:r>
            <w:r>
              <w:t xml:space="preserve">comandos e ambientes disponíveis: capa, sumário, ambiente de caso de teste</w:t>
            </w:r>
            <w:r>
              <w:t xml:space="preserve"> </w:t>
            </w:r>
            <w:r>
              <w:t xml:space="preserve">com todos os comandos de campo, barras de cabeçalho mini, ambiente testprocedure</w:t>
            </w:r>
            <w:r>
              <w:t xml:space="preserve"> </w:t>
            </w:r>
            <w:r>
              <w:t xml:space="preserve">com ações passo a passo, bloco de objetivos, blocos de código, imagens,</w:t>
            </w:r>
            <w:r>
              <w:t xml:space="preserve"> </w:t>
            </w:r>
            <w:r>
              <w:t xml:space="preserve">caixas de destaque (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infobox</w:t>
            </w:r>
            <w:r>
              <w:t xml:space="preserve">), tabelas, badge,</w:t>
            </w:r>
            <w:r>
              <w:t xml:space="preserve"> </w:t>
            </w:r>
            <w:r>
              <w:t xml:space="preserve">caminhos de menu, weblinks, notas, referências param, tabela de resumo dos testes,</w:t>
            </w:r>
            <w:r>
              <w:t xml:space="preserve"> </w:t>
            </w:r>
            <w:r>
              <w:t xml:space="preserve">emblemas de resultado e histórico de versões.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0" w:name="introdução"/>
      <w:r>
        <w:rPr>
          <w:sz w:val="112"/>
          <w:szCs w:val="112"/>
        </w:rPr>
        <w:t xml:space="preserve">1</w:t>
      </w:r>
      <w:r>
        <w:tab/>
      </w:r>
      <w:r>
        <w:t xml:space="preserve">Introdução</w:t>
      </w:r>
      <w:bookmarkEnd w:id="100"/>
    </w:p>
    <w:p>
      <w:pPr>
        <w:pStyle w:val="BodyText"/>
      </w:pPr>
      <w:r>
        <w:rPr>
          <w:bCs/>
          <w:b/>
        </w:rPr>
        <w:t xml:space="preserve">Objetivo Geral:</w:t>
      </w:r>
      <w:r>
        <w:t xml:space="preserve"> </w:t>
      </w:r>
      <w:r>
        <w:t xml:space="preserve">Validar a implantação da Plataforma de Dados do Huawei Cloud para o</w:t>
      </w:r>
      <w:r>
        <w:t xml:space="preserve"> </w:t>
      </w:r>
      <w:r>
        <w:t xml:space="preserve">ambiente de POC, garantindo que todos os serviços principais (DataArts Studio, MRS,</w:t>
      </w:r>
      <w:r>
        <w:t xml:space="preserve"> </w:t>
      </w:r>
      <w:r>
        <w:t xml:space="preserve">OBS, VPC) estejam provisionados corretamente, acessíveis e funcionando conforme</w:t>
      </w:r>
      <w:r>
        <w:t xml:space="preserve"> </w:t>
      </w:r>
      <w:r>
        <w:t xml:space="preserve">especificado na arquitetura da solução.</w:t>
      </w:r>
    </w:p>
    <w:p>
      <w:pPr>
        <w:pStyle w:val="BodyText"/>
      </w:pPr>
      <w:r>
        <w:rPr>
          <w:bCs/>
          <w:b/>
        </w:rPr>
        <w:t xml:space="preserve">Pré-requisitos: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Conta Huawei Cloud com privilégios de administrador IAM na região</w:t>
      </w:r>
      <w:r>
        <w:t xml:space="preserve"> </w:t>
      </w:r>
      <w:r>
        <w:rPr>
          <w:rStyle w:val="VerbatimChar"/>
        </w:rPr>
        <w:t xml:space="preserve">sa-brazil-1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VPC, sub-rede e grupos de segurança já criados pela equipe de infraestrutura.</w:t>
      </w:r>
    </w:p>
    <w:p>
      <w:pPr>
        <w:numPr>
          <w:ilvl w:val="0"/>
          <w:numId w:val="1001"/>
        </w:numPr>
      </w:pPr>
      <w:r>
        <w:t xml:space="preserve">Instância do DataArts Studio (Dayu) provisionada e licenciada.</w:t>
      </w:r>
    </w:p>
    <w:p>
      <w:pPr>
        <w:numPr>
          <w:ilvl w:val="0"/>
          <w:numId w:val="1001"/>
        </w:numPr>
      </w:pPr>
      <w:r>
        <w:t xml:space="preserve">Cluster MRS implantado com a pilha de componentes necessária (HDFS, YARN, Spark, Hive).</w:t>
      </w:r>
    </w:p>
    <w:p>
      <w:pPr>
        <w:numPr>
          <w:ilvl w:val="0"/>
          <w:numId w:val="1001"/>
        </w:numPr>
      </w:pPr>
      <w:r>
        <w:t xml:space="preserve">Bucket OBS criado e acessível com a política IAM designada.</w:t>
      </w:r>
    </w:p>
    <w:p>
      <w:pPr>
        <w:numPr>
          <w:ilvl w:val="0"/>
          <w:numId w:val="1001"/>
        </w:numPr>
      </w:pPr>
      <w:r>
        <w:t xml:space="preserve">Ambiente de execução de testes com conectividade de rede ao Console do Huawei Cloud.</w:t>
      </w:r>
    </w:p>
    <w:p>
      <w:pPr>
        <w:numPr>
          <w:ilvl w:val="0"/>
          <w:numId w:val="1001"/>
        </w:numPr>
      </w:pPr>
      <w:r>
        <w:t xml:space="preserve">Ferramentas CLI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 </w:t>
      </w:r>
      <w:r>
        <w:t xml:space="preserve">instaladas localmente.</w:t>
      </w:r>
    </w:p>
    <w:p>
      <w:pPr>
        <w:pStyle w:val="ObjectivesRule"/>
      </w:pPr>
      <w:r>
        <w:t xml:space="preserve">​</w:t>
      </w:r>
    </w:p>
    <w:p>
      <w:pPr>
        <w:pStyle w:val="Heading2"/>
      </w:pPr>
      <w:bookmarkStart w:id="101" w:name="escopo-dos-testes"/>
      <w:r>
        <w:t xml:space="preserve">1.1</w:t>
      </w:r>
      <w:r>
        <w:t xml:space="preserve"> Escopo dos Testes</w:t>
      </w:r>
      <w:bookmarkEnd w:id="101"/>
    </w:p>
    <w:tbl>
      <w:tblPr>
        <w:tblW w:w="9638" w:type="dxa"/>
        <w:tblLayout w:type="fixed"/>
        <w:tblBorders>
          <w:top w:val="single" w:sz="4" w:space="0" w:color="C7000B"/>
          <w:left w:val="single" w:sz="4" w:space="0" w:color="C7000B"/>
          <w:bottom w:val="single" w:sz="4" w:space="0" w:color="C7000B"/>
          <w:right w:val="single" w:sz="4" w:space="0" w:color="C7000B"/>
          <w:insideH w:val="single" w:sz="4" w:space="0" w:color="C7000B"/>
          <w:insideV w:val="single" w:sz="4" w:space="0" w:color="C7000B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Domínio</w:t>
            </w:r>
          </w:p>
        </w:tc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O Que Deve Ser Observado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Arquitetura da Plataforma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Os serviços principais estão implantados, saudáveis e acessíveis via API do Console.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Engenharia de Dados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Os pipelines do DataArts Studio conseguem ingerir, transformar e carregar dados no armazenamento de destino.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Armazenamento de Dados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Os buckets OBS e o HDFS do MRS aceitam escritas/leituras com as permissões corretas.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Segurança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As políticas IAM, o isolamento VPC e as regras dos grupos de segurança impõem o controle de acesso pretendido.</w:t>
            </w:r>
          </w:p>
        </w:tc>
      </w:tr>
    </w:tbl>
    <w:p>
      <w:pPr>
        <w:pStyle w:val="Heading2"/>
      </w:pPr>
      <w:bookmarkStart w:id="102" w:name="pré-condições-e-preparações"/>
      <w:r>
        <w:t xml:space="preserve">1.2</w:t>
      </w:r>
      <w:r>
        <w:t xml:space="preserve"> Pré-condições e Preparações</w:t>
      </w:r>
      <w:bookmarkEnd w:id="102"/>
    </w:p>
    <w:p>
      <w:pPr>
        <w:numPr>
          <w:ilvl w:val="0"/>
          <w:numId w:val="1002"/>
        </w:numPr>
      </w:pPr>
      <w:r>
        <w:t xml:space="preserve">Todos os recursos de infraestrutura devem ser provisionados via Terraform e a saída de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deve apresentar zero erros.</w:t>
      </w:r>
    </w:p>
    <w:p>
      <w:pPr>
        <w:numPr>
          <w:ilvl w:val="0"/>
          <w:numId w:val="1002"/>
        </w:numPr>
      </w:pPr>
      <w:r>
        <w:t xml:space="preserve">O cluster MRS deve estar no estado</w:t>
      </w:r>
      <w:r>
        <w:t xml:space="preserve"> </w:t>
      </w:r>
      <w:r>
        <w:rPr>
          <w:bCs/>
          <w:b/>
        </w:rPr>
        <w:t xml:space="preserve">Executando</w:t>
      </w:r>
      <w:r>
        <w:t xml:space="preserve"> </w:t>
      </w:r>
      <w:r>
        <w:t xml:space="preserve">antes da execução de qualquer caso de teste de engenharia de dados.</w:t>
      </w:r>
    </w:p>
    <w:p>
      <w:pPr>
        <w:numPr>
          <w:ilvl w:val="0"/>
          <w:numId w:val="1002"/>
        </w:numPr>
      </w:pPr>
      <w:r>
        <w:t xml:space="preserve">Os arquivos de dados de teste (CSV/JSON) devem ser carregados no bucket OBS designado antes da execução dos pipelines.</w:t>
      </w:r>
    </w:p>
    <w:p>
      <w:pPr>
        <w:numPr>
          <w:ilvl w:val="0"/>
          <w:numId w:val="1002"/>
        </w:numPr>
      </w:pPr>
      <w:r>
        <w:t xml:space="preserve">Cada testador deve ter uma conta IAM pessoal com a função</w:t>
      </w:r>
      <w:r>
        <w:t xml:space="preserve"> </w:t>
      </w:r>
      <w:r>
        <w:rPr>
          <w:bCs/>
          <w:b/>
        </w:rPr>
        <w:t xml:space="preserve">Dayu_User</w:t>
      </w:r>
      <w:r>
        <w:t xml:space="preserve"> </w:t>
      </w:r>
      <w:r>
        <w:t xml:space="preserve">atribuída no DataArts Studio.</w:t>
      </w:r>
    </w:p>
    <w:p>
      <w:pPr>
        <w:numPr>
          <w:ilvl w:val="0"/>
          <w:numId w:val="1002"/>
        </w:numPr>
      </w:pPr>
      <w:r>
        <w:t xml:space="preserve">As regras de firewall de rede devem permitir TCP 22 (SSH) e TCP 443 (HTTPS) de entrada a partir da sub-rede de execução de testes.</w:t>
      </w:r>
    </w:p>
    <w:p>
      <w:pPr>
        <w:pStyle w:val="FirstParagraph"/>
      </w:pPr>
      <w:r>
        <w:rPr>
          <w:iCs/>
          <w:i/>
        </w:rPr>
        <w:t xml:space="preserve">Certifique-se de que o ambiente de execução de testes esteja configurado com o fuso horário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America/Sao_Paulo</w:t>
      </w:r>
      <w:r>
        <w:rPr>
          <w:iCs/>
          <w:i/>
        </w:rPr>
        <w:t xml:space="preserve"> </w:t>
      </w:r>
      <w:r>
        <w:rPr>
          <w:iCs/>
          <w:i/>
        </w:rPr>
        <w:t xml:space="preserve">(GMT-3) para que os registros de data/hora nos logs estejam alinhados com o Console do Huawei Cloud.</w:t>
      </w:r>
    </w:p>
    <w:p>
      <w:pPr>
        <w:pStyle w:val="SourceCode"/>
      </w:pPr>
      <w:r>
        <w:rPr>
          <w:rStyle w:val="CommentTok"/>
        </w:rPr>
        <w:t xml:space="preserve"># Verificar se as ferramentas CLI estão instaladas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obsutil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tbl>
      <w:tblPr>
        <w:tblW w:w="9638" w:type="dxa"/>
        <w:tblLayout w:type="fixed"/>
        <w:tblBorders>
          <w:top w:val="none" w:sz="0" w:space="0" w:color="auto"/>
          <w:left w:val="single" w:sz="24" w:space="0" w:color="2E7D32"/>
          <w:bottom w:val="none" w:sz="0" w:space="0" w:color="auto"/>
          <w:right w:val="none" w:sz="0" w:space="0" w:color="auto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38" w:type="dxa"/>
            <w:shd w:val="clear" w:color="auto" w:fill="E8F5E9"/>
          </w:tcPr>
          <w:p>
            <w:r>
              <w:rPr>
                <w:rFonts w:ascii="HarmonyOS Sans" w:hAnsi="HarmonyOS Sans"/>
                <w:b/>
                <w:color w:val="2E7D32"/>
                <w:sz w:val="21"/>
                <w:szCs w:val="21"/>
              </w:rPr>
              <w:t>Dica</w:t>
            </w:r>
          </w:p>
          <w:p>
            <w:pPr>
              <w:pStyle w:val="FirstParagraph"/>
            </w:pPr>
            <w:r>
              <w:t xml:space="preserve">Utilize</w:t>
            </w:r>
            <w:r>
              <w:t xml:space="preserve"> </w:t>
            </w: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rPr>
                <w:rStyle w:val="VerbatimChar"/>
              </w:rPr>
              <w:t xml:space="preserve">terraform apply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visualizar as alterações de infraestrutura e evitar modificações indesejadas de recursos.</w:t>
            </w:r>
          </w:p>
        </w:tc>
      </w:tr>
    </w:tbl>
    <w:p>
      <w:pPr>
        <w:spacing w:before="120" w:after="0"/>
      </w:pPr>
    </w:p>
    <w:p>
      <w:pPr>
        <w:pStyle w:val="Heading2"/>
      </w:pPr>
      <w:bookmarkStart w:id="103" w:name="método-de-aceitação"/>
      <w:r>
        <w:t xml:space="preserve">1.3</w:t>
      </w:r>
      <w:r>
        <w:t xml:space="preserve"> Método de Aceitação</w:t>
      </w:r>
      <w:bookmarkEnd w:id="103"/>
    </w:p>
    <w:tbl>
      <w:tblPr>
        <w:tblW w:w="9638" w:type="dxa"/>
        <w:tblLayout w:type="fixed"/>
        <w:tblBorders>
          <w:top w:val="single" w:sz="4" w:space="0" w:color="C7000B"/>
          <w:left w:val="single" w:sz="4" w:space="0" w:color="C7000B"/>
          <w:bottom w:val="single" w:sz="4" w:space="0" w:color="C7000B"/>
          <w:right w:val="single" w:sz="4" w:space="0" w:color="C7000B"/>
          <w:insideH w:val="single" w:sz="4" w:space="0" w:color="C7000B"/>
          <w:insideV w:val="single" w:sz="4" w:space="0" w:color="C7000B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Resultado</w:t>
            </w:r>
          </w:p>
        </w:tc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Explicação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Satisfeito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 caso de teste passa completamente --- o comportamento observado corresponde ao resultado esperado sem desvios.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Satisfeito com ressalvas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 caso de teste passa, mas desvios menores foram observados que não impactam os objetivos da POC (documentados em Observações).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Não satisfeito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 caso de teste falha --- o comportamento observado não corresponde ao resultado esperado. Um relatório de defeito deve ser registrado.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Não testado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 caso de teste não pôde ser executado devido a dependências bloqueantes ou problemas de ambiente.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4" w:name="casos-de-teste"/>
      <w:r>
        <w:rPr>
          <w:sz w:val="112"/>
          <w:szCs w:val="112"/>
        </w:rPr>
        <w:t xml:space="preserve">2</w:t>
      </w:r>
      <w:r>
        <w:tab/>
      </w:r>
      <w:r>
        <w:t xml:space="preserve">Casos de Teste</w:t>
      </w:r>
      <w:bookmarkEnd w:id="104"/>
    </w:p>
    <w:p>
      <w:pPr>
        <w:pStyle w:val="Heading2"/>
      </w:pPr>
      <w:bookmarkStart w:id="105" w:name="arquitetura-da-plataforma"/>
      <w:r>
        <w:t xml:space="preserve">2.1</w:t>
      </w:r>
      <w:r>
        <w:t xml:space="preserve"> Arquitetura da Plataforma</w:t>
      </w:r>
      <w:bookmarkEnd w:id="105"/>
    </w:p>
    <w:p>
      <w:pPr>
        <w:pStyle w:val="BodyText"/>
      </w:pPr>
      <w:r>
        <w:rPr>
          <w:bCs/>
          <w:b/>
        </w:rPr>
        <w:t xml:space="preserve">Caso de Teste 1:</w:t>
      </w:r>
      <w:r>
        <w:t xml:space="preserve"> </w:t>
      </w:r>
      <w:r>
        <w:t xml:space="preserve">Verificar implantação e saúde do cluster MRS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o cluster MapReduce Service (MRS) está implantado com os componentes necessários (HDFS, YARN, Spark, Hive) e que todos os nós apresentam status saudável.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Aplicação da infraestrutura Terraform concluída com sucesso. 2. ID do cluster MRS disponível na saída do Terraform. 3. Usuário IAM possui função</w:t>
      </w:r>
      <w:r>
        <w:t xml:space="preserve"> </w:t>
      </w:r>
      <w:r>
        <w:rPr>
          <w:bCs/>
          <w:b/>
        </w:rPr>
        <w:t xml:space="preserve">MRS_Viewer</w:t>
      </w:r>
      <w:r>
        <w:t xml:space="preserve"> </w:t>
      </w:r>
      <w:r>
        <w:t xml:space="preserve">ou superior.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Acessar o Console do Huawei Cloud 2. Navegar em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MapReduce Service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Clusters</w:t>
      </w:r>
      <w:r>
        <w:t xml:space="preserve"> </w:t>
      </w:r>
      <w:r>
        <w:t xml:space="preserve">3. Localizar cluster</w:t>
      </w:r>
      <w:r>
        <w:t xml:space="preserve"> </w:t>
      </w:r>
      <w:r>
        <w:rPr>
          <w:rStyle w:val="VerbatimChar"/>
        </w:rPr>
        <w:t xml:space="preserve">mrs-poc-cluster</w:t>
      </w:r>
      <w:r>
        <w:t xml:space="preserve"> </w:t>
      </w:r>
      <w:r>
        <w:t xml:space="preserve">4. Verificar status do cluster 5. Revisar aba Componente 6. Revisar aba Nó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Status do cluster é</w:t>
      </w:r>
      <w:r>
        <w:t xml:space="preserve"> </w:t>
      </w:r>
      <w:r>
        <w:rPr>
          <w:bCs/>
          <w:b/>
        </w:rPr>
        <w:t xml:space="preserve">Executando</w:t>
      </w:r>
      <w:r>
        <w:t xml:space="preserve">. 2. Todos os quatro componentes (HDFS, YARN, Spark, Hive) estão listados com status</w:t>
      </w:r>
      <w:r>
        <w:t xml:space="preserve"> </w:t>
      </w:r>
      <w:r>
        <w:rPr>
          <w:bCs/>
          <w:b/>
        </w:rPr>
        <w:t xml:space="preserve">Normal</w:t>
      </w:r>
      <w:r>
        <w:t xml:space="preserve">. 3. Todos os nós apresentam status</w:t>
      </w:r>
      <w:r>
        <w:t xml:space="preserve"> </w:t>
      </w:r>
      <w:r>
        <w:rPr>
          <w:bCs/>
          <w:b/>
        </w:rPr>
        <w:t xml:space="preserve">Executando</w:t>
      </w:r>
      <w:r>
        <w:t xml:space="preserve"> </w:t>
      </w:r>
      <w:r>
        <w:t xml:space="preserve">sem alarmes.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Se algum componente apresentar status</w:t>
      </w:r>
      <w:r>
        <w:t xml:space="preserve"> </w:t>
      </w:r>
      <w:r>
        <w:rPr>
          <w:bCs/>
          <w:b/>
        </w:rPr>
        <w:t xml:space="preserve">Anormal</w:t>
      </w:r>
      <w:r>
        <w:t xml:space="preserve">, verificar a página de alarmes do MRS antes de registrar o resultado.</w:t>
      </w:r>
    </w:p>
    <w:p>
      <w:pPr>
        <w:pStyle w:val="FirstParagraph"/>
      </w:pPr>
      <w:r>
        <w:rPr>
          <w:bCs/>
          <w:b/>
        </w:rPr>
        <w:t xml:space="preserve">Caso de Teste 2:</w:t>
      </w:r>
      <w:r>
        <w:t xml:space="preserve"> </w:t>
      </w:r>
      <w:r>
        <w:t xml:space="preserve">Verificar criação e acessibilidade do bucket OBS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o bucket do Object Storage Service (OBS) utilizado para o data lake da POC está criado, possui a classe de armazenamento correta e é acessível com a política IAM designada.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Nome do bucket OBS definido na configuração Terraform. 2. Política IAM concedendo acesso de leitura/escrita ao bucket está anexada ao usuário de teste.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Acessar o Console 2. Navegar em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Object Storage Service</w:t>
      </w:r>
      <w:r>
        <w:t xml:space="preserve"> </w:t>
      </w:r>
      <w:r>
        <w:t xml:space="preserve">3. Localizar o bucket (ex.:</w:t>
      </w:r>
      <w:r>
        <w:t xml:space="preserve"> </w:t>
      </w:r>
      <w:r>
        <w:rPr>
          <w:rStyle w:val="VerbatimChar"/>
        </w:rPr>
        <w:t xml:space="preserve">poc-datalake-raw</w:t>
      </w:r>
      <w:r>
        <w:t xml:space="preserve">) 4. Verificar se a classe de armazenamento é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5. Carregar um arquivo de teste (</w:t>
      </w:r>
      <w:r>
        <w:rPr>
          <w:rStyle w:val="VerbatimChar"/>
        </w:rPr>
        <w:t xml:space="preserve">test-upload.txt</w:t>
      </w:r>
      <w:r>
        <w:t xml:space="preserve">) no bucket 6. Baixar o arquivo e comparar seu conteúdo com o original 7. Excluir o arquivo de teste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O bucket existe com classe de armazenamento</w:t>
      </w:r>
      <w:r>
        <w:t xml:space="preserve"> </w:t>
      </w:r>
      <w:r>
        <w:rPr>
          <w:bCs/>
          <w:b/>
        </w:rPr>
        <w:t xml:space="preserve">Standard</w:t>
      </w:r>
      <w:r>
        <w:t xml:space="preserve">. 2. O carregamento do arquivo conclui sem erro. 3. O conteúdo do arquivo baixado corresponde ao original. 4. A exclusão do arquivo é realizada com sucesso.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A consistência eventual do OBS pode causar um breve atraso antes que um objeto recém-carregado apareça nas listagens.</w:t>
      </w:r>
    </w:p>
    <w:p>
      <w:pPr>
        <w:pStyle w:val="FirstParagraph"/>
      </w:pPr>
      <w:r>
        <w:rPr>
          <w:bCs/>
          <w:b/>
        </w:rPr>
        <w:t xml:space="preserve">Caso de Teste 3:</w:t>
      </w:r>
      <w:r>
        <w:t xml:space="preserve"> </w:t>
      </w:r>
      <w:r>
        <w:t xml:space="preserve">Verificar configuração de VPC e grupo de segurança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a VPC, a sub-rede e os grupos de segurança estão configurados conforme o diagrama de arquitetura de rede, com os blocos CIDR e regras de entrada/saída corretos.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IDs da VPC e da sub-rede disponíveis na saída do Terraform. 2. Nomes dos grupos de segurança documentados na arquitetura da solução.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Acessar o Console 2. Navegar em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Virtual Private Cloud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3. Localizar a VPC (ex.:</w:t>
      </w:r>
      <w:r>
        <w:t xml:space="preserve"> </w:t>
      </w:r>
      <w:r>
        <w:rPr>
          <w:rStyle w:val="VerbatimChar"/>
        </w:rPr>
        <w:t xml:space="preserve">vpc-poc</w:t>
      </w:r>
      <w:r>
        <w:t xml:space="preserve">) e verificar se o bloco CIDR corresponde à arquitetura (ex.: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) 4. Clicar na sub-rede e verificar seu CIDR (ex.:</w:t>
      </w:r>
      <w:r>
        <w:t xml:space="preserve"> </w:t>
      </w:r>
      <w:r>
        <w:rPr>
          <w:rStyle w:val="VerbatimChar"/>
        </w:rPr>
        <w:t xml:space="preserve">10.0.1.0/24</w:t>
      </w:r>
      <w:r>
        <w:t xml:space="preserve">) 5. Navegar até</w:t>
      </w:r>
      <w:r>
        <w:t xml:space="preserve"> </w:t>
      </w:r>
      <w:r>
        <w:rPr>
          <w:bCs/>
          <w:b/>
        </w:rPr>
        <w:t xml:space="preserve">Security Groups</w:t>
      </w:r>
      <w:r>
        <w:t xml:space="preserve"> </w:t>
      </w:r>
      <w:r>
        <w:t xml:space="preserve">e verificar regras de entrada: TCP 22 da sub-rede bastion, TCP 443 do proxy corporativo 6. Verificar se as regras de saída permitem todo o tráfego (padrão)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CIDR da VPC é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. 2. CIDR da sub-rede é</w:t>
      </w:r>
      <w:r>
        <w:t xml:space="preserve"> </w:t>
      </w:r>
      <w:r>
        <w:rPr>
          <w:rStyle w:val="VerbatimChar"/>
        </w:rPr>
        <w:t xml:space="preserve">10.0.1.0/24</w:t>
      </w:r>
      <w:r>
        <w:t xml:space="preserve">. 3. Regras de entrada correspondem à arquitetura: TCP 22 e TCP 443 das origens especificadas. 4. Saída permite todo o tráfego.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Se o grupo de segurança possuir regras adicionais além da especificação da arquitetura, documentá-las no campo de Observações.</w:t>
      </w:r>
    </w:p>
    <w:p>
      <w:pPr>
        <w:pStyle w:val="Heading2"/>
      </w:pPr>
      <w:bookmarkStart w:id="106" w:name="engenharia-de-dados"/>
      <w:r>
        <w:t xml:space="preserve">2.2</w:t>
      </w:r>
      <w:r>
        <w:t xml:space="preserve"> Engenharia de Dados</w:t>
      </w:r>
      <w:bookmarkEnd w:id="106"/>
    </w:p>
    <w:p>
      <w:pPr>
        <w:pStyle w:val="FirstParagraph"/>
      </w:pPr>
      <w:r>
        <w:rPr>
          <w:bCs/>
          <w:b/>
        </w:rPr>
        <w:t xml:space="preserve">Caso de Teste 4:</w:t>
      </w:r>
      <w:r>
        <w:t xml:space="preserve"> </w:t>
      </w:r>
      <w:r>
        <w:t xml:space="preserve">Verificar criação do workspace do DataArts Studio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a instância do DataArts Studio (Dayu) está provisionada, o workspace está acessível e os usuários IAM designados conseguem acessar com a função</w:t>
      </w:r>
      <w:r>
        <w:t xml:space="preserve"> </w:t>
      </w:r>
      <w:r>
        <w:rPr>
          <w:bCs/>
          <w:b/>
        </w:rPr>
        <w:t xml:space="preserve">Dayu_User</w:t>
      </w:r>
      <w:r>
        <w:t xml:space="preserve">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Instância do DataArts Studio provisionada e com status</w:t>
      </w:r>
      <w:r>
        <w:t xml:space="preserve"> </w:t>
      </w:r>
      <w:r>
        <w:rPr>
          <w:bCs/>
          <w:b/>
        </w:rPr>
        <w:t xml:space="preserve">Executando</w:t>
      </w:r>
      <w:r>
        <w:t xml:space="preserve">. 2. Usuário IAM de teste possui a função</w:t>
      </w:r>
      <w:r>
        <w:t xml:space="preserve"> </w:t>
      </w:r>
      <w:r>
        <w:rPr>
          <w:bCs/>
          <w:b/>
        </w:rPr>
        <w:t xml:space="preserve">Dayu_User</w:t>
      </w:r>
      <w:r>
        <w:t xml:space="preserve"> </w:t>
      </w:r>
      <w:r>
        <w:t xml:space="preserve">atribuída.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Acessar o Console com o usuário IAM de teste 2. Navegar em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DataArts Studio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Workspaces</w:t>
      </w:r>
      <w:r>
        <w:t xml:space="preserve"> </w:t>
      </w:r>
      <w:r>
        <w:t xml:space="preserve">3. Localizar o workspace (ex.:</w:t>
      </w:r>
      <w:r>
        <w:t xml:space="preserve"> </w:t>
      </w:r>
      <w:r>
        <w:rPr>
          <w:rStyle w:val="VerbatimChar"/>
        </w:rPr>
        <w:t xml:space="preserve">poc-workspace</w:t>
      </w:r>
      <w:r>
        <w:t xml:space="preserve">) 4. Clicar em</w:t>
      </w:r>
      <w:r>
        <w:t xml:space="preserve"> </w:t>
      </w:r>
      <w:r>
        <w:rPr>
          <w:bCs/>
          <w:b/>
        </w:rPr>
        <w:t xml:space="preserve">Acessar Workspace</w:t>
      </w:r>
      <w:r>
        <w:t xml:space="preserve"> </w:t>
      </w:r>
      <w:r>
        <w:t xml:space="preserve">para abrir o console do DataArts Studio 5. Verificar se o painel de navegação à esquerda carrega com os módulos esperados:</w:t>
      </w:r>
      <w:r>
        <w:t xml:space="preserve"> </w:t>
      </w:r>
      <w:r>
        <w:rPr>
          <w:bCs/>
          <w:b/>
        </w:rPr>
        <w:t xml:space="preserve">Integração de Dados</w:t>
      </w:r>
      <w:r>
        <w:t xml:space="preserve">,</w:t>
      </w:r>
      <w:r>
        <w:t xml:space="preserve"> </w:t>
      </w:r>
      <w:r>
        <w:rPr>
          <w:bCs/>
          <w:b/>
        </w:rPr>
        <w:t xml:space="preserve">Desenvolvimento de Dados</w:t>
      </w:r>
      <w:r>
        <w:t xml:space="preserve">,</w:t>
      </w:r>
      <w:r>
        <w:t xml:space="preserve"> </w:t>
      </w:r>
      <w:r>
        <w:rPr>
          <w:bCs/>
          <w:b/>
        </w:rPr>
        <w:t xml:space="preserve">Arquitetura de Dados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O workspace está listado e acessível. 2. O console do DataArts Studio abre sem erros. 3. Todos os três módulos (Integração de Dados, Desenvolvimento de Dados, Arquitetura de Dados) estão visíveis na navegação.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Se o workspace falhar ao carregar, verificar o status da instância Dayu e a atribuição da função IAM.</w:t>
      </w:r>
    </w:p>
    <w:p>
      <w:pPr>
        <w:pStyle w:val="FirstParagraph"/>
      </w:pPr>
      <w:r>
        <w:rPr>
          <w:bCs/>
          <w:b/>
        </w:rPr>
        <w:t xml:space="preserve">Caso de Teste 5:</w:t>
      </w:r>
      <w:r>
        <w:t xml:space="preserve"> </w:t>
      </w:r>
      <w:r>
        <w:t xml:space="preserve">Verificar execução do pipeline de ingestão de dados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um pipeline em lote do DataArts Studio consegue ingerir dados CSV do OBS, aplicar uma transformação básica e gravar o resultado no caminho OBS de destino.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Caso de Teste 4 concluído (workspace do DataArts Studio acessível). 2. Arquivo CSV de origem (</w:t>
      </w:r>
      <w:r>
        <w:rPr>
          <w:rStyle w:val="VerbatimChar"/>
        </w:rPr>
        <w:t xml:space="preserve">customers.csv</w:t>
      </w:r>
      <w:r>
        <w:t xml:space="preserve">) existe no bucket OBS raw. 3. Caminho OBS de destino (</w:t>
      </w:r>
      <w:r>
        <w:rPr>
          <w:rStyle w:val="VerbatimChar"/>
        </w:rPr>
        <w:t xml:space="preserve">poc-datalake-curated/customers/</w:t>
      </w:r>
      <w:r>
        <w:t xml:space="preserve">) está configurado. 4. Pipeline</w:t>
      </w:r>
      <w:r>
        <w:t xml:space="preserve"> </w:t>
      </w:r>
      <w:r>
        <w:rPr>
          <w:rStyle w:val="VerbatimChar"/>
        </w:rPr>
        <w:t xml:space="preserve">pl-ingest-customers</w:t>
      </w:r>
      <w:r>
        <w:t xml:space="preserve"> </w:t>
      </w:r>
      <w:r>
        <w:t xml:space="preserve">está publicado no DataArts Studio.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Navegar até Desenvolvimento de Dados no DataArts Studio 2. Localizar pipeline</w:t>
      </w:r>
      <w:r>
        <w:t xml:space="preserve"> </w:t>
      </w:r>
      <w:r>
        <w:rPr>
          <w:rStyle w:val="VerbatimChar"/>
        </w:rPr>
        <w:t xml:space="preserve">pl-ingest-customers</w:t>
      </w:r>
      <w:r>
        <w:t xml:space="preserve"> </w:t>
      </w:r>
      <w:r>
        <w:t xml:space="preserve">3. Clicar em Executar para iniciar o pipeline 4. Aguardar status do pipeline (timeout: 10 min) 5. Verificar arquivo de saída no OBS 6. Baixar e verificar contagem de linhas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A execução do pipeline conclui com status</w:t>
      </w:r>
      <w:r>
        <w:t xml:space="preserve"> </w:t>
      </w:r>
      <w:r>
        <w:rPr>
          <w:bCs/>
          <w:b/>
        </w:rPr>
        <w:t xml:space="preserve">Sucesso</w:t>
      </w:r>
      <w:r>
        <w:t xml:space="preserve">. 2. O arquivo de saída é criado no caminho OBS de destino. 3. A contagem de linhas do arquivo de saída corresponde ao arquivo de origem.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O tempo de execução do pipeline varia conforme o volume de dados. Para a POC, o arquivo de origem contém aproximadamente 10.000 linhas.</w:t>
      </w:r>
    </w:p>
    <w:p>
      <w:pPr>
        <w:pStyle w:val="FirstParagraph"/>
      </w:pPr>
      <w:r>
        <w:rPr>
          <w:bCs/>
          <w:b/>
        </w:rPr>
        <w:t xml:space="preserve">Caso de Teste 6:</w:t>
      </w:r>
      <w:r>
        <w:t xml:space="preserve"> </w:t>
      </w:r>
      <w:r>
        <w:t xml:space="preserve">Verificar consulta Spark SQL no cluster MRS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uma consulta Spark SQL pode ser executada no cluster MRS para ler dados de uma tabela Hive e retornar resultados corretos, validando a integração entre o MRS e o data lake.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Caso de Teste 1 concluído (cluster MRS saudável). 2. Tabela Hive</w:t>
      </w:r>
      <w:r>
        <w:t xml:space="preserve"> </w:t>
      </w:r>
      <w:r>
        <w:rPr>
          <w:rStyle w:val="VerbatimChar"/>
        </w:rPr>
        <w:t xml:space="preserve">poc_db.customers</w:t>
      </w:r>
      <w:r>
        <w:t xml:space="preserve"> </w:t>
      </w:r>
      <w:r>
        <w:t xml:space="preserve">existe e contém dados carregados pelo pipeline de ingestão. 3. Acesso SSH ao nó master do MRS configurado.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Acessar o nó master do MRS via SSH 2. Executar a CLI do Spark SQL:</w:t>
      </w:r>
      <w:r>
        <w:t xml:space="preserve"> </w:t>
      </w:r>
      <w:r>
        <w:rPr>
          <w:rStyle w:val="VerbatimChar"/>
        </w:rPr>
        <w:t xml:space="preserve">spark-sql –master yarn --conf spark.sql.hive.convertMetastoreOrc=true -e "SELECT COUNT(*) FROM poc_db.customers;"</w:t>
      </w:r>
      <w:r>
        <w:t xml:space="preserve"> </w:t>
      </w:r>
      <w:r>
        <w:t xml:space="preserve">3. Verificar se a contagem retornada corresponde ao esperado (10.000) 4. Executar uma consulta de amostra para verificar a integridade dos dados:</w:t>
      </w:r>
      <w:r>
        <w:t xml:space="preserve"> </w:t>
      </w:r>
      <w:r>
        <w:rPr>
          <w:rStyle w:val="VerbatimChar"/>
        </w:rPr>
        <w:t xml:space="preserve">spark-sql –master yarn -e "SELECT customer_id, name FROM poc_db.customers LIMIT 5;"</w:t>
      </w:r>
      <w:r>
        <w:t xml:space="preserve"> </w:t>
      </w:r>
      <w:r>
        <w:t xml:space="preserve">5. Confirmar que a consulta retorna 5 linhas com valores não nulos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retorna 10.000. 2. A consulta de amostra retorna 5 linhas com valores válidos de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Se a CLI do Spark SQL não estiver disponível, utilizar a interface web do componente Spark2x do MRS para submeter a consulta.</w:t>
      </w:r>
    </w:p>
    <w:p>
      <w:pPr>
        <w:pStyle w:val="Heading2"/>
      </w:pPr>
      <w:bookmarkStart w:id="107" w:name="segurança-e-controle-de-acesso"/>
      <w:r>
        <w:t xml:space="preserve">2.3</w:t>
      </w:r>
      <w:r>
        <w:t xml:space="preserve"> Segurança e Controle de Acesso</w:t>
      </w:r>
      <w:bookmarkEnd w:id="107"/>
    </w:p>
    <w:p>
      <w:pPr>
        <w:pStyle w:val="FirstParagraph"/>
      </w:pPr>
      <w:r>
        <w:rPr>
          <w:bCs/>
          <w:b/>
        </w:rPr>
        <w:t xml:space="preserve">Caso de Teste 7:</w:t>
      </w:r>
      <w:r>
        <w:t xml:space="preserve"> </w:t>
      </w:r>
      <w:r>
        <w:t xml:space="preserve">Verificar aplicação de política IAM nos buckets OBS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as políticas IAM restringem corretamente o acesso ao bucket OBS — usuários autorizados podem ler/escrever enquanto usuários não autorizados são negados, e a política do bucket segue o princípio do menor privilégio.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Bucket OBS</w:t>
      </w:r>
      <w:r>
        <w:t xml:space="preserve"> </w:t>
      </w:r>
      <w:r>
        <w:rPr>
          <w:rStyle w:val="VerbatimChar"/>
        </w:rPr>
        <w:t xml:space="preserve">poc-datalake-raw</w:t>
      </w:r>
      <w:r>
        <w:t xml:space="preserve"> </w:t>
      </w:r>
      <w:r>
        <w:t xml:space="preserve">existe com a política IAM designada. 2. Dois usuários IAM de teste: um com função</w:t>
      </w:r>
      <w:r>
        <w:t xml:space="preserve"> </w:t>
      </w:r>
      <w:r>
        <w:rPr>
          <w:bCs/>
          <w:b/>
        </w:rPr>
        <w:t xml:space="preserve">OBS_ReadWrite</w:t>
      </w:r>
      <w:r>
        <w:t xml:space="preserve">, outro sem permissões OBS. 3. CLI</w:t>
      </w:r>
      <w:r>
        <w:t xml:space="preserve"> </w:t>
      </w:r>
      <w:r>
        <w:rPr>
          <w:rStyle w:val="VerbatimChar"/>
        </w:rPr>
        <w:t xml:space="preserve">obsutil</w:t>
      </w:r>
      <w:r>
        <w:t xml:space="preserve"> </w:t>
      </w:r>
      <w:r>
        <w:t xml:space="preserve">configurada para ambos os usuários.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Usando o usuário autorizado, carregar um arquivo de teste em</w:t>
      </w:r>
      <w:r>
        <w:t xml:space="preserve"> </w:t>
      </w:r>
      <w:r>
        <w:rPr>
          <w:rStyle w:val="VerbatimChar"/>
        </w:rPr>
        <w:t xml:space="preserve">poc-datalake-raw</w:t>
      </w:r>
      <w:r>
        <w:t xml:space="preserve"> </w:t>
      </w:r>
      <w:r>
        <w:t xml:space="preserve">2. Usando o usuário autorizado, baixar e verificar o conteúdo do arquivo 3. Usando o usuário não autorizado, tentar carregar um arquivo — verificar se a requisição é negada (HTTP 403) 4. Usando o usuário não autorizado, tentar listar objetos no bucket — verificar se a requisição é negada 5. Revisar a política do bucket no Console em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Object Storage Service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Bucket Policies</w:t>
      </w:r>
      <w:r>
        <w:t xml:space="preserve"> </w:t>
      </w:r>
      <w:r>
        <w:t xml:space="preserve">e confirmar que concede apenas as permissões pretendidas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Usuário autorizado consegue carregar e baixar com sucesso. 2. Usuário não autorizado recebe HTTP 403 nas operações de carregamento e listagem. 3. Política do bucket concede apenas as permissões de leitura/escrita pretendidas às funções designadas.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Verificar os logs do Cloud Trail se a negação de acesso não for retornada conforme esperado — pode haver herança de política do projeto ou domínio.</w:t>
      </w:r>
    </w:p>
    <w:p>
      <w:pPr>
        <w:pStyle w:val="FirstParagraph"/>
      </w:pPr>
      <w:r>
        <w:rPr>
          <w:bCs/>
          <w:b/>
        </w:rPr>
        <w:t xml:space="preserve">Caso de Teste 8:</w:t>
      </w:r>
      <w:r>
        <w:t xml:space="preserve"> </w:t>
      </w:r>
      <w:r>
        <w:t xml:space="preserve">Verificar regra de mascaramento de dados do DataArts Studio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colunas de dados sensíveis (ex.: campos PII) são mascaradas conforme a regra de mascaramento do DataArts Studio quando consultadas por usuários não administradores.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Caso de Teste 4 concluído (workspace do DataArts Studio acessível). 2. Regra de mascaramento configurada para a coluna</w:t>
      </w:r>
      <w:r>
        <w:t xml:space="preserve"> </w:t>
      </w:r>
      <w:r>
        <w:rPr>
          <w:rStyle w:val="VerbatimChar"/>
        </w:rPr>
        <w:t xml:space="preserve">customers.ssn</w:t>
      </w:r>
      <w:r>
        <w:t xml:space="preserve"> </w:t>
      </w:r>
      <w:r>
        <w:t xml:space="preserve">(Número de Seguro Social). 3. Usuário de teste possui função</w:t>
      </w:r>
      <w:r>
        <w:t xml:space="preserve"> </w:t>
      </w:r>
      <w:r>
        <w:rPr>
          <w:bCs/>
          <w:b/>
        </w:rPr>
        <w:t xml:space="preserve">Dayu_User</w:t>
      </w:r>
      <w:r>
        <w:t xml:space="preserve"> </w:t>
      </w:r>
      <w:r>
        <w:t xml:space="preserve">(não administrador).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No console do DataArts Studio, navegar até</w:t>
      </w:r>
      <w:r>
        <w:t xml:space="preserve"> </w:t>
      </w:r>
      <w:r>
        <w:rPr>
          <w:bCs/>
          <w:b/>
        </w:rPr>
        <w:t xml:space="preserve">Arquitetura de Dados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Mascaramento de Dados</w:t>
      </w:r>
      <w:r>
        <w:t xml:space="preserve"> </w:t>
      </w:r>
      <w:r>
        <w:t xml:space="preserve">2. Verificar se a regra de mascaramento para</w:t>
      </w:r>
      <w:r>
        <w:t xml:space="preserve"> </w:t>
      </w:r>
      <w:r>
        <w:rPr>
          <w:rStyle w:val="VerbatimChar"/>
        </w:rPr>
        <w:t xml:space="preserve">customers.ssn</w:t>
      </w:r>
      <w:r>
        <w:t xml:space="preserve"> </w:t>
      </w:r>
      <w:r>
        <w:t xml:space="preserve">está ativa e utiliza a estratégia</w:t>
      </w:r>
      <w:r>
        <w:t xml:space="preserve"> </w:t>
      </w:r>
      <w:r>
        <w:rPr>
          <w:bCs/>
          <w:b/>
        </w:rPr>
        <w:t xml:space="preserve">Mascarar Tudo</w:t>
      </w:r>
      <w:r>
        <w:t xml:space="preserve"> </w:t>
      </w:r>
      <w:r>
        <w:t xml:space="preserve">3. Consultar a tabela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como usuário de teste via console SQL do DataArts Studio 4. Verificar se a coluna</w:t>
      </w:r>
      <w:r>
        <w:t xml:space="preserve"> </w:t>
      </w:r>
      <w:r>
        <w:rPr>
          <w:rStyle w:val="VerbatimChar"/>
        </w:rPr>
        <w:t xml:space="preserve">ssn</w:t>
      </w:r>
      <w:r>
        <w:t xml:space="preserve"> </w:t>
      </w:r>
      <w:r>
        <w:t xml:space="preserve">retorna valores mascarados (ex.:</w:t>
      </w:r>
      <w:r>
        <w:t xml:space="preserve"> </w:t>
      </w:r>
      <w:r>
        <w:rPr>
          <w:rStyle w:val="VerbatimChar"/>
        </w:rPr>
        <w:t xml:space="preserve">*********</w:t>
      </w:r>
      <w:r>
        <w:t xml:space="preserve">) em vez dos dados reais 5. Consultar a mesma tabela como usuário administrador e verificar se os valores reais são retornados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Regra de mascaramento ativa para</w:t>
      </w:r>
      <w:r>
        <w:t xml:space="preserve"> </w:t>
      </w:r>
      <w:r>
        <w:rPr>
          <w:rStyle w:val="VerbatimChar"/>
        </w:rPr>
        <w:t xml:space="preserve">customers.ssn</w:t>
      </w:r>
      <w:r>
        <w:t xml:space="preserve">. 2. Usuário não administrador visualiza valores mascarados na coluna</w:t>
      </w:r>
      <w:r>
        <w:t xml:space="preserve"> </w:t>
      </w:r>
      <w:r>
        <w:rPr>
          <w:rStyle w:val="VerbatimChar"/>
        </w:rPr>
        <w:t xml:space="preserve">ssn</w:t>
      </w:r>
      <w:r>
        <w:t xml:space="preserve">. 3. Usuário administrador visualiza valores reais na coluna</w:t>
      </w:r>
      <w:r>
        <w:t xml:space="preserve"> </w:t>
      </w:r>
      <w:r>
        <w:rPr>
          <w:rStyle w:val="VerbatimChar"/>
        </w:rPr>
        <w:t xml:space="preserve">ssn</w:t>
      </w:r>
      <w:r>
        <w:t xml:space="preserve">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Regras de mascaramento de dados são aplicadas no momento da consulta — os dados subjacentes no OBS/HDFS não são modificados.</w:t>
      </w:r>
    </w:p>
    <w:p>
      <w:pPr>
        <w:pStyle w:val="Heading2"/>
      </w:pPr>
      <w:bookmarkStart w:id="108" w:name="configuração-de-ambiente-e-ferramentas"/>
      <w:r>
        <w:t xml:space="preserve">2.4</w:t>
      </w:r>
      <w:r>
        <w:t xml:space="preserve"> Configuração de Ambiente e Ferramentas</w:t>
      </w:r>
      <w:bookmarkEnd w:id="108"/>
    </w:p>
    <w:p>
      <w:pPr>
        <w:pStyle w:val="FirstParagraph"/>
      </w:pPr>
      <w:r>
        <w:rPr>
          <w:bCs/>
          <w:b/>
        </w:rPr>
        <w:t xml:space="preserve">Caso de Teste 9:</w:t>
      </w:r>
      <w:r>
        <w:t xml:space="preserve"> </w:t>
      </w:r>
      <w:r>
        <w:t xml:space="preserve">Verificar implantação de infraestrutura via Terraform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a configuração Terraform implanta todos os recursos de infraestrutura necessários (VPC, MRS, OBS, DataArts Studio) sem erros e que o arquivo de estado reflete os recursos esperados.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CLI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 </w:t>
      </w:r>
      <w:r>
        <w:t xml:space="preserve">instalada (versão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1.0). 2. Credenciais AK/SK configuradas via variáveis de ambiente ou</w:t>
      </w:r>
      <w:r>
        <w:t xml:space="preserve"> </w:t>
      </w:r>
      <w:r>
        <w:rPr>
          <w:iCs/>
          <w:i/>
        </w:rPr>
        <w:t xml:space="preserve">provider.tf</w:t>
      </w:r>
      <w:r>
        <w:t xml:space="preserve">. 3. Arquivos de configuração Terraform no diretório do projeto.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Navegar até o diretório do projeto Terraform 2. Executar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para inicializar o diretório de trabalho 3. Executar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e revisar as alterações planejadas — confirmar que todos os recursos esperados estão listados 4. Executar</w:t>
      </w:r>
      <w:r>
        <w:t xml:space="preserve"> </w:t>
      </w:r>
      <w:r>
        <w:rPr>
          <w:rStyle w:val="VerbatimChar"/>
        </w:rPr>
        <w:t xml:space="preserve">terraform apply -auto-approve</w:t>
      </w:r>
      <w:r>
        <w:t xml:space="preserve"> </w:t>
      </w:r>
      <w:r>
        <w:t xml:space="preserve">e aguardar a conclusão 5. Executar</w:t>
      </w:r>
      <w:r>
        <w:t xml:space="preserve"> </w:t>
      </w:r>
      <w:r>
        <w:rPr>
          <w:rStyle w:val="VerbatimChar"/>
        </w:rPr>
        <w:t xml:space="preserve">terraform output</w:t>
      </w:r>
      <w:r>
        <w:t xml:space="preserve"> </w:t>
      </w:r>
      <w:r>
        <w:t xml:space="preserve">e verificar se todos os valores de saída estão preenchidos 6. Executar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 </w:t>
      </w:r>
      <w:r>
        <w:t xml:space="preserve">e confirmar que a contagem de recursos corresponde à arquitetura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conclui sem erros. 2. Todos os valores de saída estão preenchidos (ID do cluster, nome do bucket, ID da VPC). 3. Contagem de recursos no estado corresponde à especificação da arquitetura.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Se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falhar, verificar as credenciais AK/SK e os limites de cota da região</w:t>
      </w:r>
      <w:r>
        <w:t xml:space="preserve"> </w:t>
      </w:r>
      <w:r>
        <w:rPr>
          <w:rStyle w:val="VerbatimChar"/>
        </w:rPr>
        <w:t xml:space="preserve">sa-brazil-1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Caso de Teste 10:</w:t>
      </w:r>
      <w:r>
        <w:t xml:space="preserve"> </w:t>
      </w:r>
      <w:r>
        <w:t xml:space="preserve">Verificar carregamento de dados de teste no OBS</w:t>
      </w:r>
    </w:p>
    <w:p>
      <w:pPr>
        <w:pStyle w:val="DefinitionTerm"/>
      </w:pPr>
      <w:r>
        <w:t xml:space="preserve">Objetivo</w:t>
      </w:r>
    </w:p>
    <w:p>
      <w:pPr>
        <w:pStyle w:val="Definition"/>
      </w:pPr>
      <w:r>
        <w:t xml:space="preserve">Confirmar que todos os arquivos de dados de teste necessários (CSV, JSON) podem ser carregados no bucket OBS designado e são acessíveis pelo pipeline do DataArts Studio.</w:t>
      </w:r>
    </w:p>
    <w:p>
      <w:pPr>
        <w:pStyle w:val="DefinitionTerm"/>
      </w:pPr>
      <w:r>
        <w:t xml:space="preserve">Pré-requisitos</w:t>
      </w:r>
    </w:p>
    <w:p>
      <w:pPr>
        <w:pStyle w:val="Definition"/>
      </w:pPr>
      <w:r>
        <w:t xml:space="preserve">1. Caso de Teste 2 concluído (bucket OBS acessível). 2. Arquivos de dados de teste preparados no diretório local</w:t>
      </w:r>
      <w:r>
        <w:t xml:space="preserve"> </w:t>
      </w:r>
      <w:r>
        <w:rPr>
          <w:iCs/>
          <w:i/>
        </w:rPr>
        <w:t xml:space="preserve">./test-data/</w:t>
      </w:r>
      <w:r>
        <w:t xml:space="preserve">. 3. CLI</w:t>
      </w:r>
      <w:r>
        <w:t xml:space="preserve"> </w:t>
      </w:r>
      <w:r>
        <w:rPr>
          <w:rStyle w:val="VerbatimChar"/>
        </w:rPr>
        <w:t xml:space="preserve">obsutil</w:t>
      </w:r>
      <w:r>
        <w:t xml:space="preserve"> </w:t>
      </w:r>
      <w:r>
        <w:t xml:space="preserve">configurada com as credenciais do usuário de teste.</w:t>
      </w:r>
    </w:p>
    <w:p>
      <w:pPr>
        <w:pStyle w:val="DefinitionTerm"/>
      </w:pPr>
      <w:r>
        <w:t xml:space="preserve">Procedimento</w:t>
      </w:r>
    </w:p>
    <w:p>
      <w:pPr>
        <w:pStyle w:val="Definition"/>
      </w:pPr>
      <w:r>
        <w:t xml:space="preserve">1. Listar os arquivos de dados de teste locais e verificar sua integridade (contagem de linhas, esquema) 2. Carregar todos os arquivos no bucket OBS raw usando</w:t>
      </w:r>
      <w:r>
        <w:t xml:space="preserve"> </w:t>
      </w:r>
      <w:r>
        <w:rPr>
          <w:rStyle w:val="VerbatimChar"/>
        </w:rPr>
        <w:t xml:space="preserve">obsutil</w:t>
      </w:r>
      <w:r>
        <w:t xml:space="preserve"> </w:t>
      </w:r>
      <w:r>
        <w:t xml:space="preserve">3. Verificar se cada arquivo existe no OBS listando o conteúdo do bucket 4. Baixar um arquivo de amostra do OBS e compará-lo com o original local (checksum) 5. No DataArts Studio, verificar se a conexão de fonte de dados consegue ler os arquivos carregados</w:t>
      </w:r>
    </w:p>
    <w:p>
      <w:pPr>
        <w:pStyle w:val="DefinitionTerm"/>
      </w:pPr>
      <w:r>
        <w:t xml:space="preserve">Resultado Esperado</w:t>
      </w:r>
    </w:p>
    <w:p>
      <w:pPr>
        <w:pStyle w:val="Definition"/>
      </w:pPr>
      <w:r>
        <w:t xml:space="preserve">1. Todos os arquivos de dados de teste são carregados sem erros. 2. A listagem do bucket mostra todos os arquivos carregados com tamanhos corretos. 3. O checksum do arquivo baixado corresponde ao original local. 4. A conexão de fonte de dados do DataArts Studio consegue ler os arquivos.</w:t>
      </w:r>
    </w:p>
    <w:p>
      <w:pPr>
        <w:pStyle w:val="DefinitionTerm"/>
      </w:pPr>
      <w:r>
        <w:t xml:space="preserve">Resultado do Teste</w:t>
      </w:r>
    </w:p>
    <w:p>
      <w:pPr>
        <w:pStyle w:val="Definition"/>
      </w:pPr>
      <w:r>
        <w:rPr>
          <w:bCs/>
          <w:b/>
        </w:rPr>
        <w:t xml:space="preserve">Pass</w:t>
      </w:r>
    </w:p>
    <w:p>
      <w:pPr>
        <w:pStyle w:val="DefinitionTerm"/>
      </w:pPr>
      <w:r>
        <w:t xml:space="preserve">Observações</w:t>
      </w:r>
    </w:p>
    <w:p>
      <w:pPr>
        <w:pStyle w:val="Definition"/>
      </w:pPr>
      <w:r>
        <w:t xml:space="preserve">Arquivos grandes (</w:t>
      </w:r>
      <m:oMath>
        <m:r>
          <m:rPr>
            <m:sty m:val="p"/>
          </m:rPr>
          <m:t>&gt;</m:t>
        </m:r>
      </m:oMath>
      <w:r>
        <w:t xml:space="preserve">1 GB) devem ser carregados usando o recurso de upload multipart do OBS para maior confiabilidade.</w:t>
      </w:r>
    </w:p>
    <w:p>
      <w:pPr>
        <w:pStyle w:val="FirstParagraph"/>
      </w:pPr>
      <w:r>
        <w:rPr>
          <w:iCs/>
          <w:i/>
        </w:rPr>
        <w:t xml:space="preserve">[Image placeholder: Captura de tela do painel de execução de testes mostrando os resultados de todos os casos de teste]</w:t>
      </w:r>
    </w:p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9" w:name="conclusão"/>
      <w:r>
        <w:rPr>
          <w:sz w:val="112"/>
          <w:szCs w:val="112"/>
        </w:rPr>
        <w:t xml:space="preserve">3</w:t>
      </w:r>
      <w:r>
        <w:tab/>
      </w:r>
      <w:r>
        <w:t xml:space="preserve">Conclusão</w:t>
      </w:r>
      <w:bookmarkEnd w:id="109"/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implantação e saúde do cluster MRS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criação e acessibilidade do bucket 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configuração de VPC e grupo de segurança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criação do workspace do DataArts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execução do pipeline de ingestão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consulta Spark SQL no cluster MRS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aplicação de política IAM nos buckets 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regra de mascaramento de dados do DataArts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implantação de infraestrutura via Terraform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carregamento de dados de teste no 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10" w:name="sec-changelog"/>
      <w:r>
        <w:rPr>
          <w:sz w:val="112"/>
          <w:szCs w:val="112"/>
        </w:rPr>
        <w:t xml:space="preserve">4</w:t>
      </w:r>
      <w:r>
        <w:tab/>
      </w:r>
      <w:r>
        <w:t xml:space="preserve">Histórico de versões</w:t>
      </w:r>
      <w:bookmarkEnd w:id="110"/>
    </w:p>
    <w:p>
      <w:pPr>
        <w:pBdr>
          <w:bottom w:val="single" w:sz="4" w:space="1" w:color="000000"/>
        </w:pBdr>
        <w:spacing w:after="120"/>
      </w:pPr>
    </w:p>
    <w:p>
      <w:pPr>
        <w:tabs>
          <w:tab w:val="right" w:pos="9638"/>
        </w:tabs>
      </w:pPr>
      <w:r>
        <w:rPr>
          <w:b/>
        </w:rPr>
        <w:t xml:space="preserve">2.1.0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Reestruturação do documento para layout de 3 seções: Introdução, Casos de Teste (com subseções por domínio) e Conclusão (com tabela de resumo dos testes).</w:t>
      </w:r>
    </w:p>
    <w:p>
      <w:pPr>
        <w:pStyle w:val="BodyText"/>
      </w:pPr>
      <w:r>
        <w:t xml:space="preserve">Remoção dos prefixos manuais TC-XXX dos títulos dos casos de teste — o ambiente os numera automaticamente como "Caso de Teste 1:", "Caso de Teste 2:", etc.</w:t>
      </w:r>
    </w:p>
    <w:p>
      <w:pPr>
        <w:pStyle w:val="BodyText"/>
      </w:pPr>
      <w:r>
        <w:t xml:space="preserve">Atualização dos IDs do testsummary de TC-XXX para numeração automática 1–10.</w:t>
      </w:r>
    </w:p>
    <w:p>
      <w:pPr>
        <w:pStyle w:val="BodyText"/>
      </w:pPr>
      <w:r>
        <w:t xml:space="preserve">Alteração de teststeps de tabela tabular para parágrafos auto-numerados.</w:t>
      </w:r>
      <w:r>
        <w:t xml:space="preserve"> </w:t>
      </w:r>
      <w:r>
        <w:rPr>
          <w:rStyle w:val="VerbatimChar"/>
        </w:rPr>
        <w:t xml:space="preserve">\teststep</w:t>
      </w:r>
      <w:r>
        <w:t xml:space="preserve"> </w:t>
      </w:r>
      <w:r>
        <w:t xml:space="preserve">agora aceita 1 argumento (ação apenas). Imagens, blocos de código e callouts podem ser inseridos livremente entre os passos.</w:t>
      </w:r>
    </w:p>
    <w:p>
      <w:pPr>
        <w:tabs>
          <w:tab w:val="right" w:pos="9638"/>
        </w:tabs>
      </w:pPr>
      <w:r>
        <w:rPr>
          <w:b/>
        </w:rPr>
        <w:t xml:space="preserve">2.0.0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Layout de casos de teste redesenhado: barras de cabeçalho mini de largura total para cada campo, ambiente testprocedure com tabela de passos de 2 colunas, ordem dos campos atualizada (Resultado do Teste antes de Observações).</w:t>
      </w:r>
    </w:p>
    <w:p>
      <w:pPr>
        <w:tabs>
          <w:tab w:val="right" w:pos="9638"/>
        </w:tabs>
      </w:pPr>
      <w:r>
        <w:rPr>
          <w:b/>
        </w:rPr>
        <w:t xml:space="preserve">1.1.0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Adicionadas demonstrações abrangentes de recursos: caixas de destaque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tip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infobox</w:t>
      </w:r>
      <w:r>
        <w:t xml:space="preserve">; blocos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;</w:t>
      </w:r>
      <w:r>
        <w:t xml:space="preserve"> </w:t>
      </w:r>
      <w:r>
        <w:rPr>
          <w:rStyle w:val="VerbatimChar"/>
        </w:rPr>
        <w:t xml:space="preserve">weblink</w:t>
      </w:r>
      <w:r>
        <w:t xml:space="preserve">;</w:t>
      </w:r>
      <w:r>
        <w:t xml:space="preserve"> </w:t>
      </w:r>
      <w:r>
        <w:rPr>
          <w:rStyle w:val="VerbatimChar"/>
        </w:rPr>
        <w:t xml:space="preserve">note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;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imagecap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imageplaceholder</w:t>
      </w:r>
      <w:r>
        <w:t xml:space="preserve">; caminhos</w:t>
      </w:r>
      <w:r>
        <w:t xml:space="preserve"> </w:t>
      </w:r>
      <w:r>
        <w:rPr>
          <w:rStyle w:val="VerbatimChar"/>
        </w:rPr>
        <w:t xml:space="preserve">menu</w:t>
      </w:r>
      <w:r>
        <w:t xml:space="preserve">; e referências</w:t>
      </w:r>
      <w:r>
        <w:t xml:space="preserve"> </w:t>
      </w:r>
      <w:r>
        <w:rPr>
          <w:rStyle w:val="VerbatimChar"/>
        </w:rPr>
        <w:t xml:space="preserve">inlinecode</w:t>
      </w:r>
      <w:r>
        <w:t xml:space="preserve">.</w:t>
      </w:r>
    </w:p>
    <w:p>
      <w:pPr>
        <w:pStyle w:val="BodyText"/>
      </w:pPr>
      <w:r>
        <w:t xml:space="preserve">Adicionados casos de teste de Segurança e Controle de Acesso.</w:t>
      </w:r>
    </w:p>
    <w:p>
      <w:pPr>
        <w:pStyle w:val="BodyText"/>
      </w:pPr>
      <w:r>
        <w:t xml:space="preserve">Adicionados casos de teste de Configuração do Ambiente e Ferramentas.</w:t>
      </w:r>
    </w:p>
    <w:p>
      <w:pPr>
        <w:tabs>
          <w:tab w:val="right" w:pos="9638"/>
        </w:tabs>
      </w:pPr>
      <w:r>
        <w:rPr>
          <w:b/>
        </w:rPr>
        <w:t xml:space="preserve">1.0.0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Versão inicial.</w:t>
      </w:r>
    </w:p>
    <w:p>
      <w:pPr>
        <w:pStyle w:val="BodyText"/>
      </w:pPr>
      <w:r>
        <w:t xml:space="preserve">Adicionados casos de teste de Arquitetura da Plataforma.</w:t>
      </w:r>
    </w:p>
    <w:p>
      <w:pPr>
        <w:pStyle w:val="BodyText"/>
      </w:pPr>
      <w:r>
        <w:t xml:space="preserve">Adicionados casos de teste de Engenharia de Dados.</w:t>
      </w:r>
    </w:p>
    <w:p>
      <w:pPr>
        <w:pBdr>
          <w:top w:val="single" w:sz="4" w:space="1" w:color="000000"/>
        </w:pBdr>
      </w:pPr>
    </w:p>
    <w:sectPr>
      <w:headerReference r:id="rId9" w:type="default"/>
      <w:footerReference r:id="rId10" w:type="default"/>
      <w:pgSz w:h="16838" w:w="11906"/>
      <w:pgMar w:bottom="1701" w:left="1134" w:right="1134" w:top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armonyOS Sans" w:hAnsi="HarmonyOS Sans"/>
        <w:sz w:val="20"/>
      </w:rPr>
      <w:fldChar w:fldCharType="begin"/>
    </w:r>
    <w:r>
      <w:rPr>
        <w:rFonts w:ascii="HarmonyOS Sans" w:hAnsi="HarmonyOS Sans"/>
        <w:sz w:val="20"/>
      </w:rPr>
      <w:instrText xml:space="preserve"> STYLEREF "Title" \* MERGEFORMAT </w:instrText>
    </w:r>
    <w:r>
      <w:rPr>
        <w:rFonts w:ascii="HarmonyOS Sans" w:hAnsi="HarmonyOS Sans"/>
        <w:sz w:val="20"/>
      </w:rPr>
      <w:fldChar w:fldCharType="separate"/>
    </w:r>
    <w:r>
      <w:rPr>
        <w:rFonts w:ascii="HarmonyOS Sans" w:hAnsi="HarmonyOS Sans"/>
        <w:sz w:val="20"/>
      </w:rPr>
      <w:t>Document Title</w:t>
    </w:r>
    <w:r>
      <w:rPr>
        <w:rFonts w:ascii="HarmonyOS Sans" w:hAnsi="HarmonyOS Sans"/>
        <w:sz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480" w:hanging="240"/>
      </w:pPr>
    </w:lvl>
    <w:lvl w:ilvl="1">
      <w:numFmt w:val="bullet"/>
      <w:lvlText w:val=" "/>
      <w:lvlJc w:val="left"/>
      <w:pPr>
        <w:ind w:left="960" w:hanging="240"/>
      </w:pPr>
    </w:lvl>
    <w:lvl w:ilvl="2">
      <w:numFmt w:val="bullet"/>
      <w:lvlText w:val=" "/>
      <w:lvlJc w:val="left"/>
      <w:pPr>
        <w:ind w:left="1440" w:hanging="24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480" w:hanging="240"/>
      </w:pPr>
    </w:lvl>
    <w:lvl w:ilvl="1">
      <w:numFmt w:val="bullet"/>
      <w:lvlText w:val="–"/>
      <w:lvlJc w:val="left"/>
      <w:pPr>
        <w:ind w:left="960" w:hanging="240"/>
      </w:pPr>
    </w:lvl>
    <w:lvl w:ilvl="2">
      <w:numFmt w:val="bullet"/>
      <w:lvlText w:val="•"/>
      <w:lvlJc w:val="left"/>
      <w:pPr>
        <w:ind w:left="1440" w:hanging="24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armonyOS Sans" w:asciiTheme="minorHAnsi" w:cs="HarmonyOS Sans" w:cstheme="minorBidi" w:eastAsia="HarmonyOS Sans" w:eastAsiaTheme="minorHAnsi" w:hAnsi="HarmonyOS Sans" w:hAnsiTheme="minorHAnsi"/>
        <w:sz w:val="21"/>
        <w:szCs w:val="21"/>
        <w:lang w:bidi="ar-SA" w:eastAsia="en-US" w:val="pt"/>
      </w:rPr>
    </w:rPrDefault>
    <w:pPrDefault>
      <w:pPr>
        <w:spacing w:after="80" w:line="280" w:lineRule="atLeas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1"/>
      <w:szCs w:val="21"/>
    </w:rPr>
    <w:pPr>
      <w:spacing w:after="80" w:line="280" w:lineRule="atLeast"/>
    </w:pPr>
  </w:style>
  <w:style w:styleId="BodyText" w:type="paragraph">
    <w:name w:val="Body Text"/>
    <w:basedOn w:val="Normal"/>
    <w:link w:val="BodyTextChar"/>
    <w:pPr>
      <w:spacing w:after="80" w:before="0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560" w:before="1248"/>
      <w:jc w:val="center"/>
    </w:pPr>
    <w:rPr>
      <w:rFonts w:ascii="HarmonyOS Sans" w:hAnsi="HarmonyOS Sans"/>
      <w:b/>
      <w:bCs/>
      <w:color w:val="1F2328"/>
      <w:sz w:val="72"/>
      <w:szCs w:val="7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val="single" w:sz="12" w:space="1" w:color="C7000B"/>
      </w:pBdr>
      <w:spacing w:after="600" w:before="0"/>
      <w:outlineLvl w:val="0"/>
    </w:pPr>
    <w:rPr>
      <w:rFonts w:ascii="HarmonyOS Sans" w:hAnsi="HarmonyOS Sans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600"/>
      <w:outlineLvl w:val="1"/>
    </w:pPr>
    <w:rPr>
      <w:rFonts w:ascii="HarmonyOS Sans" w:hAnsi="HarmonyOS Sans"/>
      <w:color w:val="1F2328"/>
      <w:sz w:val="36"/>
      <w:szCs w:val="3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HarmonyOS Sans" w:hAnsi="HarmonyOS Sans"/>
      <w:color w:val="1F2328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="HarmonyOS Sans" w:hAnsi="HarmonyOS Sans"/>
      <w:color w:val="1F2328"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HarmonyOS Sans" w:hAnsi="HarmonyOS Sans"/>
      <w:iCs/>
      <w:color w:val="1F232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HarmonyOS Sans" w:hAnsi="HarmonyOS Sans"/>
      <w:color w:val="1F232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HarmonyOS Sans" w:hAnsi="HarmonyOS Sans"/>
      <w:color w:val="1F232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HarmonyOS Sans" w:hAnsi="HarmonyOS Sans"/>
      <w:color w:val="1F232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HarmonyOS Sans" w:hAnsi="HarmonyOS Sans"/>
      <w:color w:val="1F2328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120"/>
      <w:jc w:val="center"/>
    </w:pPr>
    <w:rPr>
      <w:i/>
      <w:rFonts w:ascii="HarmonyOS Sans" w:hAnsi="HarmonyOS Sans"/>
      <w:b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scadia Code" w:hAnsi="Cascadia Code"/>
      <w:color w:val="1F2328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HarmonyOS Sans" w:hAnsi="HarmonyOS Sans"/>
      <w:color w:val="0000FF"/>
      <w:sz w:val="2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Bdr>
        <w:bottom w:val="single" w:sz="4" w:space="1" w:color="000000"/>
      </w:pBdr>
    </w:pPr>
    <w:rPr>
      <w:rFonts w:ascii="HarmonyOS Sans" w:hAnsi="HarmonyOS Sans"/>
      <w:b/>
      <w:color w:val="1F2328"/>
      <w:sz w:val="44"/>
      <w:szCs w:val="44"/>
    </w:rPr>
  </w:style>
  <w:style w:customStyle="1" w:styleId="warning" w:type="paragraph">
    <w:name w:val="warning"/>
    <w:pPr>
      <w:pBdr>
        <w:left w:color="F57C00" w:space="4" w:sz="24" w:val="single"/>
      </w:pBdr>
      <w:shd w:fill="FFF8E1" w:val="clear"/>
      <w:ind w:left="283"/>
      <w:spacing w:before="120" w:after="120"/>
    </w:pPr>
  </w:style>
  <w:style w:customStyle="1" w:styleId="tip" w:type="paragraph">
    <w:name w:val="tip"/>
    <w:pPr>
      <w:pBdr>
        <w:left w:color="2E7D32" w:space="4" w:sz="24" w:val="single"/>
      </w:pBdr>
      <w:shd w:fill="E8F5E9" w:val="clear"/>
      <w:ind w:left="283"/>
      <w:spacing w:before="120" w:after="120"/>
    </w:pPr>
  </w:style>
  <w:style w:customStyle="1" w:styleId="infobox" w:type="paragraph">
    <w:name w:val="infobox"/>
    <w:pPr>
      <w:pBdr>
        <w:left w:color="1565C0" w:space="4" w:sz="24" w:val="single"/>
      </w:pBdr>
      <w:shd w:fill="E3F2FD" w:val="clear"/>
      <w:ind w:left="283"/>
      <w:spacing w:before="120" w:after="120"/>
    </w:pPr>
  </w:style>
  <w:style w:customStyle="1" w:styleId="objectives" w:type="paragraph">
    <w:name w:val="objectives"/>
  </w:style>
  <w:style w:customStyle="1" w:styleId="changelog" w:type="paragraph">
    <w:name w:val="changelog"/>
  </w:style>
  <w:style w:customStyle="1" w:styleId="hutable" w:type="paragraph">
    <w:name w:val="hutable"/>
  </w:style>
  <w:style w:customStyle="1" w:styleId="SourceCode" w:type="paragraph">
    <w:name w:val="Source Code"/>
    <w:pPr>
      <w:shd w:fill="F6F8FA" w:val="clear"/>
      <w:ind w:left="397" w:right="284"/>
      <w:spacing w:before="120" w:after="120"/>
    </w:pPr>
    <w:rPr>
      <w:rFonts w:ascii="Cascadia Code" w:hAnsi="Cascadia Code"/>
      <w:color w:val="1F2328"/>
      <w:sz w:val="20"/>
      <w:szCs w:val="20"/>
    </w:rPr>
  </w:style>
  <w:style w:customStyle="1" w:styleId="badge" w:type="character">
    <w:name w:val="badge"/>
    <w:rPr>
      <w:rFonts w:ascii="HarmonyOS Sans" w:hAnsi="HarmonyOS Sans"/>
      <w:b/>
      <w:color w:val="FFFFFF"/>
      <w:sz w:val="16"/>
      <w:shd w:fill="C7000B" w:val="clear" w:color="auto"/>
      <w:szCs w:val="16"/>
    </w:rPr>
  </w:style>
  <w:style w:customStyle="1" w:styleId="CoverLogo" w:type="paragraph">
    <w:name w:val="CoverLogo"/>
    <w:pPr>
      <w:spacing w:after="200" w:before="200"/>
      <w:jc w:val="center"/>
    </w:pPr>
  </w:style>
  <w:style w:customStyle="1" w:styleId="CoverText" w:type="paragraph">
    <w:name w:val="CoverText"/>
    <w:pPr>
      <w:spacing w:after="200" w:before="600"/>
      <w:jc w:val="center"/>
    </w:pPr>
    <w:rPr>
      <w:rFonts w:ascii="HarmonyOS Sans" w:hAnsi="HarmonyOS Sans"/>
      <w:color w:val="1F2328"/>
      <w:sz w:val="32"/>
    </w:rPr>
  </w:style>
  <w:style w:customStyle="1" w:styleId="CoverMeta" w:type="paragraph">
    <w:name w:val="CoverMeta"/>
    <w:pPr>
      <w:spacing w:after="200" w:before="100"/>
      <w:jc w:val="center"/>
    </w:pPr>
    <w:rPr>
      <w:rFonts w:ascii="HarmonyOS Sans" w:hAnsi="HarmonyOS Sans"/>
      <w:color w:val="595959"/>
      <w:sz w:val="24"/>
    </w:rPr>
  </w:style>
  <w:style w:customStyle="1" w:styleId="TOCTitle" w:type="paragraph">
    <w:name w:val="TOCTitle"/>
    <w:pPr>
      <w:spacing w:after="200" w:before="0"/>
      <w:jc w:val="right"/>
    </w:pPr>
    <w:rPr>
      <w:rFonts w:ascii="HarmonyOS Sans" w:hAnsi="HarmonyOS Sans"/>
      <w:b/>
      <w:color w:val="1F2328"/>
      <w:sz w:val="44"/>
    </w:rPr>
  </w:style>
  <w:style w:customStyle="1" w:styleId="ImageBlock" w:type="paragraph">
    <w:name w:val="ImageBlock"/>
    <w:pPr>
      <w:spacing w:after="120" w:before="120"/>
      <w:jc w:val="center"/>
    </w:pPr>
  </w:style>
  <w:style w:customStyle="1" w:styleId="ObjectivesRule" w:type="paragraph">
    <w:name w:val="ObjectivesRule"/>
    <w:pPr>
      <w:spacing w:after="200" w:before="80"/>
      <w:pBdr>
        <w:bottom w:color="000000" w:space="1" w:sz="12" w:val="single"/>
      </w:pBdr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1"/>
    <w:basedOn w:val="Normal"/>
    <w:next w:val="Normal"/>
    <w:uiPriority w:val="9"/>
    <w:qFormat/>
    <w:pPr>
      <w:tabs>
        <w:tab w:val="right" w:leader="dot" w:pos="9000"/>
      </w:tabs>
      <w:ind w:left="0"/>
      <w:spacing w:after="40"/>
    </w:pPr>
  </w:style>
  <w:style w:type="paragraph" w:styleId="TOC2">
    <w:name w:val="toc2"/>
    <w:basedOn w:val="Normal"/>
    <w:next w:val="Normal"/>
    <w:uiPriority w:val="9"/>
    <w:qFormat/>
    <w:pPr>
      <w:tabs>
        <w:tab w:val="right" w:leader="dot" w:pos="9000"/>
      </w:tabs>
      <w:ind w:left="420"/>
      <w:spacing w:after="40"/>
    </w:pPr>
  </w:style>
  <w:style w:type="paragraph" w:styleId="TOC3">
    <w:name w:val="toc3"/>
    <w:basedOn w:val="Normal"/>
    <w:next w:val="Normal"/>
    <w:uiPriority w:val="9"/>
    <w:qFormat/>
    <w:pPr>
      <w:tabs>
        <w:tab w:val="right" w:leader="dot" w:pos="9000"/>
      </w:tabs>
      <w:ind w:left="840"/>
      <w:spacing w:after="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armonyOS Sans"/>
        <a:ea typeface="HarmonyOS Sans"/>
        <a:cs typeface="HarmonyOS Sa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armonyOS Sans"/>
        <a:ea typeface="HarmonyOS Sans"/>
        <a:cs typeface="HarmonyOS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2026-09-14T01:30:22Z</dcterms:created>
  <dcterms:modified xsi:type="dcterms:W3CDTF">2026-09-14T01:30:22Z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-version">
    <vt:lpwstr>2.1.0</vt:lpwstr>
  </property>
</Properties>
</file>