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Casos de Teste POC — Validação da Plataforma de Dados</w:t>
      </w:r>
    </w:p>
    <w:p>
      <w:pPr>
        <w:pStyle w:val="CoverLogo"/>
      </w:pPr>
      <w:r>
        <w:drawing>
          <wp:inline>
            <wp:extent cx="1295999" cy="132045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huawei-logo-cove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999" cy="1320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verText"/>
      </w:pPr>
      <w:r>
        <w:t xml:space="preserve">Huawei Technologies CO., LTD</w:t>
      </w:r>
    </w:p>
    <w:p>
      <w:pPr>
        <w:pStyle w:val="CoverMeta"/>
      </w:pPr>
      <w:r>
        <w:t xml:space="preserve">v2.0.0 — 2026-09-12 19:01</w:t>
      </w:r>
    </w:p>
    <w:p>
      <w:r>
        <w:br w:type="page"/>
      </w:r>
    </w:p>
    <w:p>
      <w:pPr>
        <w:pStyle w:val="TOCTitle"/>
      </w:pPr>
      <w:r>
        <w:t xml:space="preserve">Sumário</w:t>
      </w:r>
    </w:p>
    <w:sdt>
      <w:sdtPr>
        <w:docPartObj>
          <w:docPartGallery w:val="Table of Contents"/>
          <w:docPartUnique/>
        </w:docPartObj>
      </w:sdtPr>
      <w:sdtContent>
        <w:p>
          <w:r>
            <w:fldChar w:fldCharType="begin" w:dirty="true"/>
            <w:instrText xml:space="preserve"> TOC \o "1-3" \h \z \u </w:instrText>
            <w:fldChar w:fldCharType="separate"/>
            <w:fldChar w:fldCharType="end"/>
          </w:r>
        </w:p>
      </w:sdtContent>
    </w:sdt>
    <w:p>
      <w:r>
        <w:br w:type="page"/>
      </w:r>
    </w:p>
    <w:tbl>
      <w:tblPr>
        <w:tblW w:w="9638" w:type="dxa"/>
        <w:tblLayout w:type="fixed"/>
        <w:tblBorders>
          <w:top w:val="none" w:sz="0" w:space="0" w:color="auto"/>
          <w:left w:val="single" w:sz="24" w:space="0" w:color="1565C0"/>
          <w:bottom w:val="none" w:sz="0" w:space="0" w:color="auto"/>
          <w:right w:val="none" w:sz="0" w:space="0" w:color="auto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tcW w:w="9638" w:type="dxa"/>
            <w:shd w:val="clear" w:color="auto" w:fill="E3F2FD"/>
          </w:tcPr>
          <w:p>
            <w:r>
              <w:rPr>
                <w:rFonts w:ascii="HarmonyOS Sans" w:hAnsi="HarmonyOS Sans"/>
                <w:b/>
                <w:color w:val="1565C0"/>
                <w:sz w:val="21"/>
                <w:szCs w:val="21"/>
              </w:rPr>
              <w:t>Informação</w:t>
            </w:r>
          </w:p>
          <w:p>
            <w:pPr>
              <w:pStyle w:val="BodyText"/>
            </w:pPr>
            <w:r>
              <w:t xml:space="preserve">Este documento demonstra o template</w:t>
            </w:r>
            <w:r>
              <w:t xml:space="preserve"> </w:t>
            </w:r>
            <w:r>
              <w:rPr>
                <w:rStyle w:val="VerbatimChar"/>
              </w:rPr>
              <w:t xml:space="preserve">testbook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testbook.cls</w:t>
            </w:r>
            <w:r>
              <w:t xml:space="preserve">) para</w:t>
            </w:r>
            <w:r>
              <w:t xml:space="preserve"> </w:t>
            </w:r>
            <w:r>
              <w:t xml:space="preserve">documentos de casos de teste POC/aceitação do Huawei Cloud. Ele exercita todos os</w:t>
            </w:r>
            <w:r>
              <w:t xml:space="preserve"> </w:t>
            </w:r>
            <w:r>
              <w:t xml:space="preserve">comandos e ambientes disponíveis: capa, sumário, ambiente de caso de teste</w:t>
            </w:r>
            <w:r>
              <w:t xml:space="preserve"> </w:t>
            </w:r>
            <w:r>
              <w:t xml:space="preserve">com todos os comandos de campo, barras de cabeçalho mini, ambiente testprocedure</w:t>
            </w:r>
            <w:r>
              <w:t xml:space="preserve"> </w:t>
            </w:r>
            <w:r>
              <w:t xml:space="preserve">com ações passo a passo, bloco de objetivos, blocos de código, imagens,</w:t>
            </w:r>
            <w:r>
              <w:t xml:space="preserve"> </w:t>
            </w:r>
            <w:r>
              <w:t xml:space="preserve">caixas de destaque (</w:t>
            </w:r>
            <w:r>
              <w:rPr>
                <w:rStyle w:val="VerbatimChar"/>
              </w:rPr>
              <w:t xml:space="preserve">warning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infobox</w:t>
            </w:r>
            <w:r>
              <w:t xml:space="preserve">), tabelas, badge,</w:t>
            </w:r>
            <w:r>
              <w:t xml:space="preserve"> </w:t>
            </w:r>
            <w:r>
              <w:t xml:space="preserve">caminhos de menu, weblinks, notas, referências param, tabela de resumo dos testes,</w:t>
            </w:r>
            <w:r>
              <w:t xml:space="preserve"> </w:t>
            </w:r>
            <w:r>
              <w:t xml:space="preserve">emblemas de resultado e histórico de versões.</w:t>
            </w:r>
          </w:p>
        </w:tc>
      </w:tr>
    </w:tbl>
    <w:p>
      <w:pPr>
        <w:spacing w:before="120" w:after="0"/>
      </w:pP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0" w:name="descrição-dos-casos-de-teste"/>
      <w:r>
        <w:rPr>
          <w:sz w:val="112"/>
          <w:szCs w:val="112"/>
        </w:rPr>
        <w:t xml:space="preserve">1</w:t>
      </w:r>
      <w:r>
        <w:tab/>
      </w:r>
      <w:r>
        <w:t xml:space="preserve">Descrição dos Casos de Teste</w:t>
      </w:r>
      <w:bookmarkEnd w:id="100"/>
    </w:p>
    <w:p>
      <w:pPr>
        <w:pStyle w:val="BodyText"/>
      </w:pPr>
      <w:r>
        <w:rPr>
          <w:bCs/>
          <w:b/>
        </w:rPr>
        <w:t xml:space="preserve">Objetivo Geral:</w:t>
      </w:r>
      <w:r>
        <w:t xml:space="preserve"> </w:t>
      </w:r>
      <w:r>
        <w:t xml:space="preserve">Validar a implantação da Plataforma de Dados do Huawei Cloud para o</w:t>
      </w:r>
      <w:r>
        <w:t xml:space="preserve"> </w:t>
      </w:r>
      <w:r>
        <w:t xml:space="preserve">ambiente de POC, garantindo que todos os serviços principais (DataArts Studio, MRS,</w:t>
      </w:r>
      <w:r>
        <w:t xml:space="preserve"> </w:t>
      </w:r>
      <w:r>
        <w:t xml:space="preserve">OBS, VPC) estejam provisionados corretamente, acessíveis e funcionando conforme</w:t>
      </w:r>
      <w:r>
        <w:t xml:space="preserve"> </w:t>
      </w:r>
      <w:r>
        <w:t xml:space="preserve">especificado na arquitetura da solução.</w:t>
      </w:r>
    </w:p>
    <w:p>
      <w:pPr>
        <w:pStyle w:val="BodyText"/>
      </w:pPr>
      <w:r>
        <w:rPr>
          <w:bCs/>
          <w:b/>
        </w:rPr>
        <w:t xml:space="preserve">Pré-requisitos:</w:t>
      </w:r>
      <w:r>
        <w:t xml:space="preserve"> </w:t>
      </w:r>
    </w:p>
    <w:p>
      <w:pPr>
        <w:numPr>
          <w:ilvl w:val="0"/>
          <w:numId w:val="1001"/>
        </w:numPr>
      </w:pPr>
      <w:r>
        <w:t xml:space="preserve">Conta Huawei Cloud com privilégios de administrador IAM na região</w:t>
      </w:r>
      <w:r>
        <w:t xml:space="preserve"> </w:t>
      </w:r>
      <w:r>
        <w:rPr>
          <w:rStyle w:val="VerbatimChar"/>
        </w:rPr>
        <w:t xml:space="preserve">sa-brazil-1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VPC, sub-rede e grupos de segurança já criados pela equipe de infraestrutura.</w:t>
      </w:r>
    </w:p>
    <w:p>
      <w:pPr>
        <w:numPr>
          <w:ilvl w:val="0"/>
          <w:numId w:val="1001"/>
        </w:numPr>
      </w:pPr>
      <w:r>
        <w:t xml:space="preserve">Instância do DataArts Studio (Dayu) provisionada e licenciada.</w:t>
      </w:r>
    </w:p>
    <w:p>
      <w:pPr>
        <w:numPr>
          <w:ilvl w:val="0"/>
          <w:numId w:val="1001"/>
        </w:numPr>
      </w:pPr>
      <w:r>
        <w:t xml:space="preserve">Cluster MRS implantado com a pilha de componentes necessária (HDFS, YARN, Spark, Hive).</w:t>
      </w:r>
    </w:p>
    <w:p>
      <w:pPr>
        <w:numPr>
          <w:ilvl w:val="0"/>
          <w:numId w:val="1001"/>
        </w:numPr>
      </w:pPr>
      <w:r>
        <w:t xml:space="preserve">Bucket OBS criado e acessível com a política IAM designada.</w:t>
      </w:r>
    </w:p>
    <w:p>
      <w:pPr>
        <w:numPr>
          <w:ilvl w:val="0"/>
          <w:numId w:val="1001"/>
        </w:numPr>
      </w:pPr>
      <w:r>
        <w:t xml:space="preserve">Ambiente de execução de testes com conectividade de rede ao Console do Huawei Cloud.</w:t>
      </w:r>
    </w:p>
    <w:p>
      <w:pPr>
        <w:numPr>
          <w:ilvl w:val="0"/>
          <w:numId w:val="1001"/>
        </w:numPr>
      </w:pPr>
      <w:r>
        <w:t xml:space="preserve">Ferramentas CLI</w:t>
      </w:r>
      <w:r>
        <w:t xml:space="preserve"> </w:t>
      </w:r>
      <w:r>
        <w:rPr>
          <w:rStyle w:val="VerbatimChar"/>
        </w:rPr>
        <w:t xml:space="preserve">latexmk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 </w:t>
      </w:r>
      <w:r>
        <w:t xml:space="preserve">instaladas localmente.</w:t>
      </w:r>
    </w:p>
    <w:p>
      <w:pPr>
        <w:pStyle w:val="ObjectivesRule"/>
      </w:pPr>
      <w:r>
        <w:t xml:space="preserve">​</w:t>
      </w:r>
    </w:p>
    <w:p>
      <w:pPr>
        <w:pStyle w:val="Heading2"/>
      </w:pPr>
      <w:bookmarkStart w:id="101" w:name="escopo-dos-testes"/>
      <w:r>
        <w:t xml:space="preserve">1.1</w:t>
      </w:r>
      <w:r>
        <w:t xml:space="preserve"> Escopo dos Testes</w:t>
      </w:r>
      <w:bookmarkEnd w:id="101"/>
    </w:p>
    <w:tbl>
      <w:tblPr>
        <w:tblW w:w="9638" w:type="dxa"/>
        <w:tblLayout w:type="fixed"/>
        <w:tblBorders>
          <w:top w:val="single" w:sz="4" w:space="0" w:color="C7000B"/>
          <w:left w:val="single" w:sz="4" w:space="0" w:color="C7000B"/>
          <w:bottom w:val="single" w:sz="4" w:space="0" w:color="C7000B"/>
          <w:right w:val="single" w:sz="4" w:space="0" w:color="C7000B"/>
          <w:insideH w:val="single" w:sz="4" w:space="0" w:color="C7000B"/>
          <w:insideV w:val="single" w:sz="4" w:space="0" w:color="C7000B"/>
        </w:tblBorders>
        <w:tblCellMar>
          <w:left w:w="100" w:type="dxa"/>
          <w:right w:w="100" w:type="dxa"/>
        </w:tblCellMar>
      </w:tblPr>
      <w:tr>
        <w:trPr>
          <w:tblHeader/>
        </w:trPr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Domínio</w:t>
            </w:r>
          </w:p>
        </w:tc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O Que Deve Ser Observado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Arquitetura da Plataforma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Os serviços principais estão implantados, saudáveis e acessíveis via API do Console.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Engenharia de Dados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Os pipelines do DataArts Studio conseguem ingerir, transformar e carregar dados no armazenamento de destino.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Armazenamento de Dados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Os buckets OBS e o HDFS do MRS aceitam escritas/leituras com as permissões corretas.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Segurança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As políticas IAM, o isolamento VPC e as regras dos grupos de segurança impõem o controle de acesso pretendido.</w:t>
            </w:r>
          </w:p>
        </w:tc>
      </w:tr>
    </w:tbl>
    <w:p>
      <w:pPr>
        <w:pStyle w:val="Heading2"/>
      </w:pPr>
      <w:bookmarkStart w:id="102" w:name="pré-condições-e-preparações"/>
      <w:r>
        <w:t xml:space="preserve">1.2</w:t>
      </w:r>
      <w:r>
        <w:t xml:space="preserve"> Pré-condições e Preparações</w:t>
      </w:r>
      <w:bookmarkEnd w:id="102"/>
    </w:p>
    <w:p>
      <w:pPr>
        <w:numPr>
          <w:ilvl w:val="0"/>
          <w:numId w:val="1002"/>
        </w:numPr>
      </w:pPr>
      <w:r>
        <w:t xml:space="preserve">Todos os recursos de infraestrutura devem ser provisionados via Terraform e a saída de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deve apresentar zero erros.</w:t>
      </w:r>
    </w:p>
    <w:p>
      <w:pPr>
        <w:numPr>
          <w:ilvl w:val="0"/>
          <w:numId w:val="1002"/>
        </w:numPr>
      </w:pPr>
      <w:r>
        <w:t xml:space="preserve">O cluster MRS deve estar no estado</w:t>
      </w:r>
      <w:r>
        <w:t xml:space="preserve"> </w:t>
      </w:r>
      <w:r>
        <w:rPr>
          <w:bCs/>
          <w:b/>
        </w:rPr>
        <w:t xml:space="preserve">Executando</w:t>
      </w:r>
      <w:r>
        <w:t xml:space="preserve"> </w:t>
      </w:r>
      <w:r>
        <w:t xml:space="preserve">antes da execução de qualquer caso de teste de engenharia de dados.</w:t>
      </w:r>
    </w:p>
    <w:p>
      <w:pPr>
        <w:numPr>
          <w:ilvl w:val="0"/>
          <w:numId w:val="1002"/>
        </w:numPr>
      </w:pPr>
      <w:r>
        <w:t xml:space="preserve">Os arquivos de dados de teste (CSV/JSON) devem ser carregados no bucket OBS designado antes da execução dos pipelines.</w:t>
      </w:r>
    </w:p>
    <w:p>
      <w:pPr>
        <w:numPr>
          <w:ilvl w:val="0"/>
          <w:numId w:val="1002"/>
        </w:numPr>
      </w:pPr>
      <w:r>
        <w:t xml:space="preserve">Cada testador deve ter uma conta IAM pessoal com a função</w:t>
      </w:r>
      <w:r>
        <w:t xml:space="preserve"> </w:t>
      </w:r>
      <w:r>
        <w:rPr>
          <w:bCs/>
          <w:b/>
        </w:rPr>
        <w:t xml:space="preserve">Dayu_User</w:t>
      </w:r>
      <w:r>
        <w:t xml:space="preserve"> </w:t>
      </w:r>
      <w:r>
        <w:t xml:space="preserve">atribuída no DataArts Studio.</w:t>
      </w:r>
    </w:p>
    <w:p>
      <w:pPr>
        <w:numPr>
          <w:ilvl w:val="0"/>
          <w:numId w:val="1002"/>
        </w:numPr>
      </w:pPr>
      <w:r>
        <w:t xml:space="preserve">As regras de firewall de rede devem permitir TCP 22 (SSH) e TCP 443 (HTTPS) de entrada a partir da sub-rede de execução de testes.</w:t>
      </w:r>
    </w:p>
    <w:p>
      <w:pPr>
        <w:pStyle w:val="FirstParagraph"/>
      </w:pPr>
      <w:r>
        <w:rPr>
          <w:iCs/>
          <w:i/>
        </w:rPr>
        <w:t xml:space="preserve">Certifique-se de que o ambiente de execução de testes esteja configurado com o fuso horário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America/Sao_Paulo</w:t>
      </w:r>
      <w:r>
        <w:rPr>
          <w:iCs/>
          <w:i/>
        </w:rPr>
        <w:t xml:space="preserve"> </w:t>
      </w:r>
      <w:r>
        <w:rPr>
          <w:iCs/>
          <w:i/>
        </w:rPr>
        <w:t xml:space="preserve">(GMT-3) para que os registros de data/hora nos logs estejam alinhados com o Console do Huawei Cloud.</w:t>
      </w:r>
    </w:p>
    <w:p>
      <w:pPr>
        <w:pStyle w:val="SourceCode"/>
      </w:pPr>
      <w:r>
        <w:rPr>
          <w:rStyle w:val="CommentTok"/>
        </w:rPr>
        <w:t xml:space="preserve"># Verificar se as ferramentas CLI estão instaladas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obsutil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version </w:t>
      </w:r>
      <w:r>
        <w:rPr>
          <w:rStyle w:val="AttributeTok"/>
        </w:rPr>
        <w:t xml:space="preserve">--client</w:t>
      </w:r>
    </w:p>
    <w:tbl>
      <w:tblPr>
        <w:tblW w:w="9638" w:type="dxa"/>
        <w:tblLayout w:type="fixed"/>
        <w:tblBorders>
          <w:top w:val="none" w:sz="0" w:space="0" w:color="auto"/>
          <w:left w:val="single" w:sz="24" w:space="0" w:color="2E7D32"/>
          <w:bottom w:val="none" w:sz="0" w:space="0" w:color="auto"/>
          <w:right w:val="none" w:sz="0" w:space="0" w:color="auto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tcW w:w="9638" w:type="dxa"/>
            <w:shd w:val="clear" w:color="auto" w:fill="E8F5E9"/>
          </w:tcPr>
          <w:p>
            <w:r>
              <w:rPr>
                <w:rFonts w:ascii="HarmonyOS Sans" w:hAnsi="HarmonyOS Sans"/>
                <w:b/>
                <w:color w:val="2E7D32"/>
                <w:sz w:val="21"/>
                <w:szCs w:val="21"/>
              </w:rPr>
              <w:t>Dica</w:t>
            </w:r>
          </w:p>
          <w:p>
            <w:pPr>
              <w:pStyle w:val="FirstParagraph"/>
            </w:pPr>
            <w:r>
              <w:t xml:space="preserve">Utilize</w:t>
            </w:r>
            <w:r>
              <w:t xml:space="preserve"> </w:t>
            </w:r>
            <w:r>
              <w:rPr>
                <w:rStyle w:val="VerbatimChar"/>
              </w:rPr>
              <w:t xml:space="preserve">terraform plan</w:t>
            </w:r>
            <w:r>
              <w:t xml:space="preserve"> </w:t>
            </w:r>
            <w:r>
              <w:t xml:space="preserve">antes de</w:t>
            </w:r>
            <w:r>
              <w:t xml:space="preserve"> </w:t>
            </w:r>
            <w:r>
              <w:rPr>
                <w:rStyle w:val="VerbatimChar"/>
              </w:rPr>
              <w:t xml:space="preserve">terraform apply</w:t>
            </w:r>
            <w:r>
              <w:t xml:space="preserve"> </w:t>
            </w:r>
            <w:r>
              <w:t xml:space="preserve">para</w:t>
            </w:r>
            <w:r>
              <w:t xml:space="preserve"> </w:t>
            </w:r>
            <w:r>
              <w:t xml:space="preserve">visualizar as alterações de infraestrutura e evitar modificações indesejadas de recursos.</w:t>
            </w:r>
          </w:p>
        </w:tc>
      </w:tr>
    </w:tbl>
    <w:p>
      <w:pPr>
        <w:spacing w:before="120" w:after="0"/>
      </w:pPr>
    </w:p>
    <w:p>
      <w:pPr>
        <w:pStyle w:val="Heading2"/>
      </w:pPr>
      <w:bookmarkStart w:id="103" w:name="método-de-aceitação"/>
      <w:r>
        <w:t xml:space="preserve">1.3</w:t>
      </w:r>
      <w:r>
        <w:t xml:space="preserve"> Método de Aceitação</w:t>
      </w:r>
      <w:bookmarkEnd w:id="103"/>
    </w:p>
    <w:tbl>
      <w:tblPr>
        <w:tblW w:w="9638" w:type="dxa"/>
        <w:tblLayout w:type="fixed"/>
        <w:tblBorders>
          <w:top w:val="single" w:sz="4" w:space="0" w:color="C7000B"/>
          <w:left w:val="single" w:sz="4" w:space="0" w:color="C7000B"/>
          <w:bottom w:val="single" w:sz="4" w:space="0" w:color="C7000B"/>
          <w:right w:val="single" w:sz="4" w:space="0" w:color="C7000B"/>
          <w:insideH w:val="single" w:sz="4" w:space="0" w:color="C7000B"/>
          <w:insideV w:val="single" w:sz="4" w:space="0" w:color="C7000B"/>
        </w:tblBorders>
        <w:tblCellMar>
          <w:left w:w="100" w:type="dxa"/>
          <w:right w:w="100" w:type="dxa"/>
        </w:tblCellMar>
      </w:tblPr>
      <w:tr>
        <w:trPr>
          <w:tblHeader/>
        </w:trPr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Resultado</w:t>
            </w:r>
          </w:p>
        </w:tc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Explicação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Satisfeito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passa completamente --- o comportamento observado corresponde ao resultado esperado sem desvios.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Satisfeito com ressalvas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passa, mas desvios menores foram observados que não impactam os objetivos da POC (documentados em Observações).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Não satisfeito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falha --- o comportamento observado não corresponde ao resultado esperado. Um relatório de defeito deve ser registrado.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Não testado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não pôde ser executado devido a dependências bloqueantes ou problemas de ambiente.</w:t>
            </w:r>
          </w:p>
        </w:tc>
      </w:tr>
    </w:tbl>
    <w:p>
      <w:pPr>
        <w:pStyle w:val="Heading2"/>
      </w:pPr>
      <w:bookmarkStart w:id="104" w:name="resumo-dos-casos-de-teste"/>
      <w:r>
        <w:t xml:space="preserve">1.4</w:t>
      </w:r>
      <w:r>
        <w:t xml:space="preserve"> Resumo dos Casos de Teste</w:t>
      </w:r>
      <w:bookmarkEnd w:id="104"/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implantação e saúde do cluster MRS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criação e acessibilidade do bucket 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configuração de VPC e grupo de 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criação do workspace do DataArts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execução do pipeline de ingestão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consulta Spark SQL no cluster MRS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aplicação de política IAM nos buckets 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regra de mascaramento de dados do DataArts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implantação de infraestrutura via Terraform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carregamento de dados de teste no 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5" w:name="arquitetura-da-plataforma"/>
      <w:r>
        <w:rPr>
          <w:sz w:val="112"/>
          <w:szCs w:val="112"/>
        </w:rPr>
        <w:t xml:space="preserve">2</w:t>
      </w:r>
      <w:r>
        <w:tab/>
      </w:r>
      <w:r>
        <w:t xml:space="preserve">Arquitetura da Plataforma</w:t>
      </w:r>
      <w:bookmarkEnd w:id="105"/>
    </w:p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TC-001: Verificar implantação e saúde do cluster MRS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o cluster MapReduce Service (MRS) está implantado</w:t>
      </w:r>
      <w:r>
        <w:t xml:space="preserve"> </w:t>
      </w:r>
      <w:r>
        <w:t xml:space="preserve">com os componentes necessários (HDFS, YARN, Spark, Hive) e que todos os nós</w:t>
      </w:r>
      <w:r>
        <w:t xml:space="preserve"> </w:t>
      </w:r>
      <w:r>
        <w:t xml:space="preserve">apresentam status saudável.</w:t>
      </w:r>
    </w:p>
    <w:p>
      <w:pPr>
        <w:pStyle w:val="DefinitionTerm"/>
      </w:pPr>
      <w:r>
        <w:t xml:space="preserve">Pré-requisitos</w:t>
      </w:r>
    </w:p>
    <w:p>
      <w:pPr>
        <w:numPr>
          <w:ilvl w:val="0"/>
          <w:numId w:val="1003"/>
        </w:numPr>
        <w:pStyle w:val="Compact"/>
      </w:pPr>
      <w:r>
        <w:t xml:space="preserve">Aplicação da infraestrutura Terraform concluída com sucesso.</w:t>
      </w:r>
    </w:p>
    <w:p>
      <w:pPr>
        <w:numPr>
          <w:ilvl w:val="0"/>
          <w:numId w:val="1003"/>
        </w:numPr>
        <w:pStyle w:val="Compact"/>
      </w:pPr>
      <w:r>
        <w:t xml:space="preserve">ID do cluster MRS disponível na saída do Terraform.</w:t>
      </w:r>
    </w:p>
    <w:p>
      <w:pPr>
        <w:numPr>
          <w:ilvl w:val="0"/>
          <w:numId w:val="1003"/>
        </w:numPr>
        <w:pStyle w:val="Compact"/>
      </w:pPr>
      <w:r>
        <w:t xml:space="preserve">Usuário IAM possui função MRS_Viewer ou superior.</w:t>
      </w:r>
    </w:p>
    <w:p>
      <w:pPr>
        <w:pStyle w:val="DefinitionTerm"/>
      </w:pPr>
      <w:r>
        <w:t xml:space="preserve">Procedimento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Acessar o Console do Huawei Cloud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Navegar em Console, MapReduce Service, Clusters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Localizar cluster mrs-poc-cluster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status do cluster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aba Componente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aba Nó</w:t>
            </w:r>
          </w:p>
        </w:tc>
      </w:tr>
    </w:tbl>
    <w:p>
      <w:pPr>
        <w:pStyle w:val="DefinitionTerm"/>
      </w:pPr>
      <w:r>
        <w:t xml:space="preserve">Resultado Esperado</w:t>
      </w:r>
    </w:p>
    <w:p>
      <w:pPr>
        <w:numPr>
          <w:ilvl w:val="0"/>
          <w:numId w:val="1004"/>
        </w:numPr>
        <w:pStyle w:val="Compact"/>
      </w:pPr>
      <w:r>
        <w:t xml:space="preserve">Status do cluster é Executando.</w:t>
      </w:r>
    </w:p>
    <w:p>
      <w:pPr>
        <w:numPr>
          <w:ilvl w:val="0"/>
          <w:numId w:val="1004"/>
        </w:numPr>
        <w:pStyle w:val="Compact"/>
      </w:pPr>
      <w:r>
        <w:t xml:space="preserve">Todos os quatro componentes (HDFS, YARN, Spark, Hive) estão listados com status Normal.</w:t>
      </w:r>
    </w:p>
    <w:p>
      <w:pPr>
        <w:numPr>
          <w:ilvl w:val="0"/>
          <w:numId w:val="1004"/>
        </w:numPr>
        <w:pStyle w:val="Compact"/>
      </w:pPr>
      <w:r>
        <w:t xml:space="preserve">Todos os nós apresentam status Executando sem alarmes.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algum componente apresentar status Anormal, verificar a página de alarmes do MRS antes de registrar o resultado.</w:t>
      </w:r>
    </w:p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TC-002: Verificar criação e acessibilidade do bucket OBS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o bucket do Object Storage Service (OBS) utilizado</w:t>
      </w:r>
      <w:r>
        <w:t xml:space="preserve"> </w:t>
      </w:r>
      <w:r>
        <w:t xml:space="preserve">para o data lake da POC está criado, possui a classe de armazenamento correta</w:t>
      </w:r>
      <w:r>
        <w:t xml:space="preserve"> </w:t>
      </w:r>
      <w:r>
        <w:t xml:space="preserve">e é acessível com a política IAM designada.</w:t>
      </w:r>
    </w:p>
    <w:p>
      <w:pPr>
        <w:pStyle w:val="DefinitionTerm"/>
      </w:pPr>
      <w:r>
        <w:t xml:space="preserve">Pré-requisitos</w:t>
      </w:r>
    </w:p>
    <w:p>
      <w:pPr>
        <w:numPr>
          <w:ilvl w:val="0"/>
          <w:numId w:val="1005"/>
        </w:numPr>
        <w:pStyle w:val="Compact"/>
      </w:pPr>
      <w:r>
        <w:t xml:space="preserve">Nome do bucket OBS definido na configuração Terraform.</w:t>
      </w:r>
    </w:p>
    <w:p>
      <w:pPr>
        <w:numPr>
          <w:ilvl w:val="0"/>
          <w:numId w:val="1005"/>
        </w:numPr>
        <w:pStyle w:val="Compact"/>
      </w:pPr>
      <w:r>
        <w:t xml:space="preserve">Política IAM concedendo acesso de leitura/escrita ao bucket está anexada ao usuário de teste.</w:t>
      </w:r>
    </w:p>
    <w:p>
      <w:pPr>
        <w:pStyle w:val="DefinitionTerm"/>
      </w:pPr>
      <w:r>
        <w:t xml:space="preserve">Procedimento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Acessar o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Navegar em Console, Object Storage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Localizar o bucket (ex.: poc-datalake-raw)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se a classe de armazenamento é 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Carregar um arquivo de teste (test-upload.txt) no bucket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Baixar o arquivo e comparar seu conteúdo com o original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Excluir o arquivo de teste</w:t>
            </w:r>
          </w:p>
        </w:tc>
      </w:tr>
    </w:tbl>
    <w:p>
      <w:pPr>
        <w:pStyle w:val="DefinitionTerm"/>
      </w:pPr>
      <w:r>
        <w:t xml:space="preserve">Resultado Esperado</w:t>
      </w:r>
    </w:p>
    <w:p>
      <w:pPr>
        <w:numPr>
          <w:ilvl w:val="0"/>
          <w:numId w:val="1006"/>
        </w:numPr>
        <w:pStyle w:val="Compact"/>
      </w:pPr>
      <w:r>
        <w:t xml:space="preserve">O bucket existe com classe de armazenamento Standard.</w:t>
      </w:r>
    </w:p>
    <w:p>
      <w:pPr>
        <w:numPr>
          <w:ilvl w:val="0"/>
          <w:numId w:val="1006"/>
        </w:numPr>
        <w:pStyle w:val="Compact"/>
      </w:pPr>
      <w:r>
        <w:t xml:space="preserve">O carregamento do arquivo conclui sem erro.</w:t>
      </w:r>
    </w:p>
    <w:p>
      <w:pPr>
        <w:numPr>
          <w:ilvl w:val="0"/>
          <w:numId w:val="1006"/>
        </w:numPr>
        <w:pStyle w:val="Compact"/>
      </w:pPr>
      <w:r>
        <w:t xml:space="preserve">O conteúdo do arquivo baixado corresponde ao original.</w:t>
      </w:r>
    </w:p>
    <w:p>
      <w:pPr>
        <w:numPr>
          <w:ilvl w:val="0"/>
          <w:numId w:val="1006"/>
        </w:numPr>
        <w:pStyle w:val="Compact"/>
      </w:pPr>
      <w:r>
        <w:t xml:space="preserve">A exclusão do arquivo é realizada com sucesso.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A consistência eventual do OBS pode causar um breve atraso antes que um objeto recém-carregado apareça nas listagens.</w:t>
      </w:r>
    </w:p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TC-003: Verificar configuração de VPC e grupo de segurança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 VPC, a sub-rede e os grupos de segurança estão</w:t>
      </w:r>
      <w:r>
        <w:t xml:space="preserve"> </w:t>
      </w:r>
      <w:r>
        <w:t xml:space="preserve">configurados conforme o diagrama de arquitetura de rede, com os blocos CIDR</w:t>
      </w:r>
      <w:r>
        <w:t xml:space="preserve"> </w:t>
      </w:r>
      <w:r>
        <w:t xml:space="preserve">e regras de entrada/saída corretos.</w:t>
      </w:r>
    </w:p>
    <w:p>
      <w:pPr>
        <w:pStyle w:val="DefinitionTerm"/>
      </w:pPr>
      <w:r>
        <w:t xml:space="preserve">Pré-requisitos</w:t>
      </w:r>
    </w:p>
    <w:p>
      <w:pPr>
        <w:numPr>
          <w:ilvl w:val="0"/>
          <w:numId w:val="1007"/>
        </w:numPr>
        <w:pStyle w:val="Compact"/>
      </w:pPr>
      <w:r>
        <w:t xml:space="preserve">IDs da VPC e da sub-rede disponíveis na saída do Terraform.</w:t>
      </w:r>
    </w:p>
    <w:p>
      <w:pPr>
        <w:numPr>
          <w:ilvl w:val="0"/>
          <w:numId w:val="1007"/>
        </w:numPr>
        <w:pStyle w:val="Compact"/>
      </w:pPr>
      <w:r>
        <w:t xml:space="preserve">Nomes dos grupos de segurança documentados na arquitetura da solução.</w:t>
      </w:r>
    </w:p>
    <w:p>
      <w:pPr>
        <w:pStyle w:val="DefinitionTerm"/>
      </w:pPr>
      <w:r>
        <w:t xml:space="preserve">Procedimento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Acessar o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Navegar em Console, Virtual Private Cloud, VPCs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Localizar a VPC (ex.: vpc-poc) e verificar se o bloco CIDR corresponde à arquitetura (ex.: 10.0.0.0/16)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Clicar na sub-rede e verificar seu CIDR (ex.: 10.0.1.0/24)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Navegar até Security Groups e verificar regras de entrada: TCP 22 da sub-rede bastion, TCP 443 do proxy corporativo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se as regras de saída permitem todo o tráfego (padrão)</w:t>
            </w:r>
          </w:p>
        </w:tc>
      </w:tr>
    </w:tbl>
    <w:p>
      <w:pPr>
        <w:pStyle w:val="DefinitionTerm"/>
      </w:pPr>
      <w:r>
        <w:t xml:space="preserve">Resultado Esperado</w:t>
      </w:r>
    </w:p>
    <w:p>
      <w:pPr>
        <w:numPr>
          <w:ilvl w:val="0"/>
          <w:numId w:val="1008"/>
        </w:numPr>
        <w:pStyle w:val="Compact"/>
      </w:pPr>
      <w:r>
        <w:t xml:space="preserve">CIDR da VPC é 10.0.0.0/16.</w:t>
      </w:r>
    </w:p>
    <w:p>
      <w:pPr>
        <w:numPr>
          <w:ilvl w:val="0"/>
          <w:numId w:val="1008"/>
        </w:numPr>
        <w:pStyle w:val="Compact"/>
      </w:pPr>
      <w:r>
        <w:t xml:space="preserve">CIDR da sub-rede é 10.0.1.0/24.</w:t>
      </w:r>
    </w:p>
    <w:p>
      <w:pPr>
        <w:numPr>
          <w:ilvl w:val="0"/>
          <w:numId w:val="1008"/>
        </w:numPr>
        <w:pStyle w:val="Compact"/>
      </w:pPr>
      <w:r>
        <w:t xml:space="preserve">Regras de entrada correspondem à arquitetura: TCP 22 e TCP 443 das origens especificadas.</w:t>
      </w:r>
    </w:p>
    <w:p>
      <w:pPr>
        <w:numPr>
          <w:ilvl w:val="0"/>
          <w:numId w:val="1008"/>
        </w:numPr>
        <w:pStyle w:val="Compact"/>
      </w:pPr>
      <w:r>
        <w:t xml:space="preserve">Saída permite todo o tráfego.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o grupo de segurança possuir regras adicionais além da especificação da arquitetura, documentá-las no campo de Observações.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6" w:name="engenharia-de-dados"/>
      <w:r>
        <w:rPr>
          <w:sz w:val="112"/>
          <w:szCs w:val="112"/>
        </w:rPr>
        <w:t xml:space="preserve">3</w:t>
      </w:r>
      <w:r>
        <w:tab/>
      </w:r>
      <w:r>
        <w:t xml:space="preserve">Engenharia de Dados</w:t>
      </w:r>
      <w:bookmarkEnd w:id="106"/>
    </w:p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TC-004: Verificar criação do workspace do DataArts Studio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 instância do DataArts Studio (Dayu) está</w:t>
      </w:r>
      <w:r>
        <w:t xml:space="preserve"> </w:t>
      </w:r>
      <w:r>
        <w:t xml:space="preserve">provisionada, o workspace está acessível e os usuários IAM designados</w:t>
      </w:r>
      <w:r>
        <w:t xml:space="preserve"> </w:t>
      </w:r>
      <w:r>
        <w:t xml:space="preserve">conseguem acessar com a função Dayu_User.</w:t>
      </w:r>
    </w:p>
    <w:p>
      <w:pPr>
        <w:pStyle w:val="DefinitionTerm"/>
      </w:pPr>
      <w:r>
        <w:t xml:space="preserve">Pré-requisitos</w:t>
      </w:r>
    </w:p>
    <w:p>
      <w:pPr>
        <w:numPr>
          <w:ilvl w:val="0"/>
          <w:numId w:val="1009"/>
        </w:numPr>
        <w:pStyle w:val="Compact"/>
      </w:pPr>
      <w:r>
        <w:t xml:space="preserve">Instância do DataArts Studio provisionada e com status Executando.</w:t>
      </w:r>
    </w:p>
    <w:p>
      <w:pPr>
        <w:numPr>
          <w:ilvl w:val="0"/>
          <w:numId w:val="1009"/>
        </w:numPr>
        <w:pStyle w:val="Compact"/>
      </w:pPr>
      <w:r>
        <w:t xml:space="preserve">Usuário IAM de teste possui a função Dayu_User atribuída.</w:t>
      </w:r>
    </w:p>
    <w:p>
      <w:pPr>
        <w:pStyle w:val="DefinitionTerm"/>
      </w:pPr>
      <w:r>
        <w:t xml:space="preserve">Procedimento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Acessar o Console com o usuário IAM de teste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Navegar em Console, DataArts Studio, Workspaces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Localizar o workspace (ex.: poc-workspace)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Clicar em Acessar Workspace para abrir o console do DataArts Studio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se o painel de navegação à esquerda carrega com os módulos esperados: Integração de Dados, Desenvolvimento de Dados, Arquitetura de Dados</w:t>
            </w:r>
          </w:p>
        </w:tc>
      </w:tr>
    </w:tbl>
    <w:p>
      <w:pPr>
        <w:pStyle w:val="DefinitionTerm"/>
      </w:pPr>
      <w:r>
        <w:t xml:space="preserve">Resultado Esperado</w:t>
      </w:r>
    </w:p>
    <w:p>
      <w:pPr>
        <w:numPr>
          <w:ilvl w:val="0"/>
          <w:numId w:val="1010"/>
        </w:numPr>
        <w:pStyle w:val="Compact"/>
      </w:pPr>
      <w:r>
        <w:t xml:space="preserve">O workspace está listado e acessível.</w:t>
      </w:r>
    </w:p>
    <w:p>
      <w:pPr>
        <w:numPr>
          <w:ilvl w:val="0"/>
          <w:numId w:val="1010"/>
        </w:numPr>
        <w:pStyle w:val="Compact"/>
      </w:pPr>
      <w:r>
        <w:t xml:space="preserve">O console do DataArts Studio abre sem erros.</w:t>
      </w:r>
    </w:p>
    <w:p>
      <w:pPr>
        <w:numPr>
          <w:ilvl w:val="0"/>
          <w:numId w:val="1010"/>
        </w:numPr>
        <w:pStyle w:val="Compact"/>
      </w:pPr>
      <w:r>
        <w:t xml:space="preserve">Todos os três módulos (Integração de Dados, Desenvolvimento de Dados, Arquitetura de Dados) estão visíveis na navegação.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o workspace falhar ao carregar, verificar o status da instância Dayu e a atribuição da função IAM.</w:t>
      </w:r>
    </w:p>
    <w:p>
      <w:pPr>
        <w:pStyle w:val="Heading2"/>
      </w:pPr>
      <w:r>
        <w:rPr>
          <w:rStyle w:val="SectionNumber"/>
        </w:rPr>
        <w:t xml:space="preserve">0.5</w:t>
      </w:r>
      <w:r>
        <w:tab/>
      </w:r>
      <w:r>
        <w:t xml:space="preserve">TC-005: Verificar execução do pipeline de ingestão de dados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um pipeline em lote do DataArts Studio consegue</w:t>
      </w:r>
      <w:r>
        <w:t xml:space="preserve"> </w:t>
      </w:r>
      <w:r>
        <w:t xml:space="preserve">ingerir dados CSV do OBS, aplicar uma transformação básica</w:t>
      </w:r>
      <w:r>
        <w:t xml:space="preserve"> </w:t>
      </w:r>
      <w:r>
        <w:t xml:space="preserve">e gravar o resultado no caminho OBS de destino.</w:t>
      </w:r>
    </w:p>
    <w:p>
      <w:pPr>
        <w:pStyle w:val="DefinitionTerm"/>
      </w:pPr>
      <w:r>
        <w:t xml:space="preserve">Pré-requisitos</w:t>
      </w:r>
    </w:p>
    <w:p>
      <w:pPr>
        <w:numPr>
          <w:ilvl w:val="0"/>
          <w:numId w:val="1011"/>
        </w:numPr>
        <w:pStyle w:val="Compact"/>
      </w:pPr>
      <w:r>
        <w:t xml:space="preserve">TC-004 concluído (workspace do DataArts Studio acessível).</w:t>
      </w:r>
    </w:p>
    <w:p>
      <w:pPr>
        <w:numPr>
          <w:ilvl w:val="0"/>
          <w:numId w:val="1011"/>
        </w:numPr>
        <w:pStyle w:val="Compact"/>
      </w:pPr>
      <w:r>
        <w:t xml:space="preserve">Arquivo CSV de origem (customers.csv) existe no bucket OBS raw.</w:t>
      </w:r>
    </w:p>
    <w:p>
      <w:pPr>
        <w:numPr>
          <w:ilvl w:val="0"/>
          <w:numId w:val="1011"/>
        </w:numPr>
        <w:pStyle w:val="Compact"/>
      </w:pPr>
      <w:r>
        <w:t xml:space="preserve">Caminho OBS de destino (poc-datalake-curated/customers/) está configurado.</w:t>
      </w:r>
    </w:p>
    <w:p>
      <w:pPr>
        <w:numPr>
          <w:ilvl w:val="0"/>
          <w:numId w:val="1011"/>
        </w:numPr>
        <w:pStyle w:val="Compact"/>
      </w:pPr>
      <w:r>
        <w:t xml:space="preserve">Pipeline pl-ingest-customers está publicado no DataArts Studio.</w:t>
      </w:r>
    </w:p>
    <w:p>
      <w:pPr>
        <w:pStyle w:val="DefinitionTerm"/>
      </w:pPr>
      <w:r>
        <w:t xml:space="preserve">Procedimento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Navegar até Desenvolvimento de Dados no DataArts Studio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Localizar pipeline pl-ingest-customers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Clicar em Executar para iniciar o 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Aguardar status do pipeline (timeout: 10 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arquivo de saída no 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Baixar e verificar contagem de linhas</w:t>
            </w:r>
          </w:p>
        </w:tc>
      </w:tr>
    </w:tbl>
    <w:p>
      <w:pPr>
        <w:pStyle w:val="DefinitionTerm"/>
      </w:pPr>
      <w:r>
        <w:t xml:space="preserve">Resultado Esperado</w:t>
      </w:r>
    </w:p>
    <w:p>
      <w:pPr>
        <w:numPr>
          <w:ilvl w:val="0"/>
          <w:numId w:val="1012"/>
        </w:numPr>
        <w:pStyle w:val="Compact"/>
      </w:pPr>
      <w:r>
        <w:t xml:space="preserve">A execução do pipeline conclui com status Sucesso.</w:t>
      </w:r>
    </w:p>
    <w:p>
      <w:pPr>
        <w:numPr>
          <w:ilvl w:val="0"/>
          <w:numId w:val="1012"/>
        </w:numPr>
        <w:pStyle w:val="Compact"/>
      </w:pPr>
      <w:r>
        <w:t xml:space="preserve">O arquivo de saída é criado no caminho OBS de destino.</w:t>
      </w:r>
    </w:p>
    <w:p>
      <w:pPr>
        <w:numPr>
          <w:ilvl w:val="0"/>
          <w:numId w:val="1012"/>
        </w:numPr>
        <w:pStyle w:val="Compact"/>
      </w:pPr>
      <w:r>
        <w:t xml:space="preserve">A contagem de linhas do arquivo de saída corresponde ao arquivo de origem.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O tempo de execução do pipeline varia conforme o volume de dados. Para a POC, o arquivo de origem contém aproximadamente 10.000 linhas.</w:t>
      </w:r>
    </w:p>
    <w:p>
      <w:pPr>
        <w:pStyle w:val="Heading2"/>
      </w:pPr>
      <w:r>
        <w:rPr>
          <w:rStyle w:val="SectionNumber"/>
        </w:rPr>
        <w:t xml:space="preserve">0.6</w:t>
      </w:r>
      <w:r>
        <w:tab/>
      </w:r>
      <w:r>
        <w:t xml:space="preserve">TC-006: Verificar consulta Spark SQL no cluster MRS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uma consulta Spark SQL pode ser executada no</w:t>
      </w:r>
      <w:r>
        <w:t xml:space="preserve"> </w:t>
      </w:r>
      <w:r>
        <w:t xml:space="preserve">cluster MRS para ler dados de uma tabela Hive e retornar resultados</w:t>
      </w:r>
      <w:r>
        <w:t xml:space="preserve"> </w:t>
      </w:r>
      <w:r>
        <w:t xml:space="preserve">corretos, validando a integração entre o MRS e o data lake.</w:t>
      </w:r>
    </w:p>
    <w:p>
      <w:pPr>
        <w:pStyle w:val="DefinitionTerm"/>
      </w:pPr>
      <w:r>
        <w:t xml:space="preserve">Pré-requisitos</w:t>
      </w:r>
    </w:p>
    <w:p>
      <w:pPr>
        <w:numPr>
          <w:ilvl w:val="0"/>
          <w:numId w:val="1013"/>
        </w:numPr>
        <w:pStyle w:val="Compact"/>
      </w:pPr>
      <w:r>
        <w:t xml:space="preserve">TC-001 concluído (cluster MRS saudável).</w:t>
      </w:r>
    </w:p>
    <w:p>
      <w:pPr>
        <w:numPr>
          <w:ilvl w:val="0"/>
          <w:numId w:val="1013"/>
        </w:numPr>
        <w:pStyle w:val="Compact"/>
      </w:pPr>
      <w:r>
        <w:t xml:space="preserve">Tabela Hive poc_db.customers existe e contém dados carregados pelo pipeline de ingestão.</w:t>
      </w:r>
    </w:p>
    <w:p>
      <w:pPr>
        <w:numPr>
          <w:ilvl w:val="0"/>
          <w:numId w:val="1013"/>
        </w:numPr>
        <w:pStyle w:val="Compact"/>
      </w:pPr>
      <w:r>
        <w:t xml:space="preserve">Acesso SSH ao nó master do MRS configurado.</w:t>
      </w:r>
    </w:p>
    <w:p>
      <w:pPr>
        <w:pStyle w:val="DefinitionTerm"/>
      </w:pPr>
      <w:r>
        <w:t xml:space="preserve">Procedimento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Acessar o nó master do MRS via SSH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Executar a CLI do Spark SQL: spark-sql –master yarn -{}-conf spark.sql.hive.convertMetastoreOrc=true -e “SELECT COUNT(*) FROM poc_db.customers;”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se a contagem retornada corresponde ao esperado (10.000)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Executar uma consulta de amostra para verificar a integridade dos dados: spark-sql –master yarn -e</w:t>
            </w:r>
            <w:r>
              <w:t xml:space="preserve"> </w:t>
            </w:r>
            <w:r>
              <w:t xml:space="preserve">“</w:t>
            </w:r>
            <w:r>
              <w:t xml:space="preserve">SELECT customer_id, name FROM poc_db.customers LIMIT 5;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que a consulta retorna 5 linhas com valores não nulos</w:t>
            </w:r>
          </w:p>
        </w:tc>
      </w:tr>
    </w:tbl>
    <w:p>
      <w:pPr>
        <w:pStyle w:val="DefinitionTerm"/>
      </w:pPr>
      <w:r>
        <w:t xml:space="preserve">Resultado Esperado</w:t>
      </w:r>
    </w:p>
    <w:p>
      <w:pPr>
        <w:numPr>
          <w:ilvl w:val="0"/>
          <w:numId w:val="1014"/>
        </w:numPr>
        <w:pStyle w:val="Compact"/>
      </w:pPr>
      <w:r>
        <w:t xml:space="preserve">COUNT(*) retorna 10.000.</w:t>
      </w:r>
    </w:p>
    <w:p>
      <w:pPr>
        <w:numPr>
          <w:ilvl w:val="0"/>
          <w:numId w:val="1014"/>
        </w:numPr>
        <w:pStyle w:val="Compact"/>
      </w:pPr>
      <w:r>
        <w:t xml:space="preserve">A consulta de amostra retorna 5 linhas com valores válidos de customer_id e name.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a CLI do Spark SQL não estiver disponível, utilizar a interface web do componente Spark2x do MRS para submeter a consulta.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7" w:name="segurança-e-controle-de-acesso"/>
      <w:r>
        <w:rPr>
          <w:sz w:val="112"/>
          <w:szCs w:val="112"/>
        </w:rPr>
        <w:t xml:space="preserve">4</w:t>
      </w:r>
      <w:r>
        <w:tab/>
      </w:r>
      <w:r>
        <w:t xml:space="preserve">Segurança e Controle de Acesso</w:t>
      </w:r>
      <w:bookmarkEnd w:id="107"/>
    </w:p>
    <w:p>
      <w:pPr>
        <w:pStyle w:val="Heading2"/>
      </w:pPr>
      <w:r>
        <w:rPr>
          <w:rStyle w:val="SectionNumber"/>
        </w:rPr>
        <w:t xml:space="preserve">0.7</w:t>
      </w:r>
      <w:r>
        <w:tab/>
      </w:r>
      <w:r>
        <w:t xml:space="preserve">TC-007: Verificar aplicação de política IAM nos buckets OBS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as políticas IAM restringem corretamente o acesso</w:t>
      </w:r>
      <w:r>
        <w:t xml:space="preserve"> </w:t>
      </w:r>
      <w:r>
        <w:t xml:space="preserve">ao bucket OBS — usuários autorizados podem ler/escrever enquanto usuários</w:t>
      </w:r>
      <w:r>
        <w:t xml:space="preserve"> </w:t>
      </w:r>
      <w:r>
        <w:t xml:space="preserve">não autorizados são negados, e a política do bucket segue o princípio</w:t>
      </w:r>
      <w:r>
        <w:t xml:space="preserve"> </w:t>
      </w:r>
      <w:r>
        <w:t xml:space="preserve">do menor privilégio.</w:t>
      </w:r>
    </w:p>
    <w:p>
      <w:pPr>
        <w:pStyle w:val="DefinitionTerm"/>
      </w:pPr>
      <w:r>
        <w:t xml:space="preserve">Pré-requisitos</w:t>
      </w:r>
    </w:p>
    <w:p>
      <w:pPr>
        <w:numPr>
          <w:ilvl w:val="0"/>
          <w:numId w:val="1015"/>
        </w:numPr>
        <w:pStyle w:val="Compact"/>
      </w:pPr>
      <w:r>
        <w:t xml:space="preserve">Bucket OBS poc-datalake-raw existe com a política IAM designada.</w:t>
      </w:r>
    </w:p>
    <w:p>
      <w:pPr>
        <w:numPr>
          <w:ilvl w:val="0"/>
          <w:numId w:val="1015"/>
        </w:numPr>
        <w:pStyle w:val="Compact"/>
      </w:pPr>
      <w:r>
        <w:t xml:space="preserve">Dois usuários IAM de teste: um com função OBS_ReadWrite, outro sem permissões OBS.</w:t>
      </w:r>
    </w:p>
    <w:p>
      <w:pPr>
        <w:numPr>
          <w:ilvl w:val="0"/>
          <w:numId w:val="1015"/>
        </w:numPr>
        <w:pStyle w:val="Compact"/>
      </w:pPr>
      <w:r>
        <w:t xml:space="preserve">CLI obsutil configurada para ambos os usuários.</w:t>
      </w:r>
    </w:p>
    <w:p>
      <w:pPr>
        <w:pStyle w:val="DefinitionTerm"/>
      </w:pPr>
      <w:r>
        <w:t xml:space="preserve">Procedimento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Usando o usuário autorizado, carregar um arquivo de teste em poc-datalake-raw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Usando o usuário autorizado, baixar e verificar o conteúdo do arquivo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Usando o usuário não autorizado, tentar carregar um arquivo — verificar se a requisição é negada (HTTP 403)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Usando o usuário não autorizado, tentar listar objetos no bucket — verificar se a requisição é negada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a política do bucket no Console em Console, Object Storage Service, Bucket Policies e confirmar que concede apenas as permissões pretendidas</w:t>
            </w:r>
          </w:p>
        </w:tc>
      </w:tr>
    </w:tbl>
    <w:p>
      <w:pPr>
        <w:pStyle w:val="DefinitionTerm"/>
      </w:pPr>
      <w:r>
        <w:t xml:space="preserve">Resultado Esperado</w:t>
      </w:r>
    </w:p>
    <w:p>
      <w:pPr>
        <w:numPr>
          <w:ilvl w:val="0"/>
          <w:numId w:val="1016"/>
        </w:numPr>
        <w:pStyle w:val="Compact"/>
      </w:pPr>
      <w:r>
        <w:t xml:space="preserve">Usuário autorizado consegue carregar e baixar com sucesso.</w:t>
      </w:r>
    </w:p>
    <w:p>
      <w:pPr>
        <w:numPr>
          <w:ilvl w:val="0"/>
          <w:numId w:val="1016"/>
        </w:numPr>
        <w:pStyle w:val="Compact"/>
      </w:pPr>
      <w:r>
        <w:t xml:space="preserve">Usuário não autorizado recebe HTTP 403 nas operações de carregamento e listagem.</w:t>
      </w:r>
    </w:p>
    <w:p>
      <w:pPr>
        <w:numPr>
          <w:ilvl w:val="0"/>
          <w:numId w:val="1016"/>
        </w:numPr>
        <w:pStyle w:val="Compact"/>
      </w:pPr>
      <w:r>
        <w:t xml:space="preserve">Política do bucket concede apenas as permissões de leitura/escrita pretendidas às funções designadas.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Verificar os logs do Cloud Trail se a negação de acesso não for retornada conforme esperado — pode haver herança de política do projeto ou domínio.</w:t>
      </w:r>
    </w:p>
    <w:p>
      <w:pPr>
        <w:pStyle w:val="Heading2"/>
      </w:pPr>
      <w:r>
        <w:rPr>
          <w:rStyle w:val="SectionNumber"/>
        </w:rPr>
        <w:t xml:space="preserve">0.8</w:t>
      </w:r>
      <w:r>
        <w:tab/>
      </w:r>
      <w:r>
        <w:t xml:space="preserve">TC-008: Verificar regra de mascaramento de dados do DataArts Studio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colunas de dados sensíveis (ex.: campos PII) são</w:t>
      </w:r>
      <w:r>
        <w:t xml:space="preserve"> </w:t>
      </w:r>
      <w:r>
        <w:t xml:space="preserve">mascaradas conforme a regra de mascaramento do DataArts Studio quando</w:t>
      </w:r>
      <w:r>
        <w:t xml:space="preserve"> </w:t>
      </w:r>
      <w:r>
        <w:t xml:space="preserve">consultadas por usuários não administradores.</w:t>
      </w:r>
    </w:p>
    <w:p>
      <w:pPr>
        <w:pStyle w:val="DefinitionTerm"/>
      </w:pPr>
      <w:r>
        <w:t xml:space="preserve">Pré-requisitos</w:t>
      </w:r>
    </w:p>
    <w:p>
      <w:pPr>
        <w:numPr>
          <w:ilvl w:val="0"/>
          <w:numId w:val="1017"/>
        </w:numPr>
        <w:pStyle w:val="Compact"/>
      </w:pPr>
      <w:r>
        <w:t xml:space="preserve">TC-004 concluído (workspace do DataArts Studio acessível).</w:t>
      </w:r>
    </w:p>
    <w:p>
      <w:pPr>
        <w:numPr>
          <w:ilvl w:val="0"/>
          <w:numId w:val="1017"/>
        </w:numPr>
        <w:pStyle w:val="Compact"/>
      </w:pPr>
      <w:r>
        <w:t xml:space="preserve">Regra de mascaramento configurada para a coluna customers.ssn (Número de Seguro Social).</w:t>
      </w:r>
    </w:p>
    <w:p>
      <w:pPr>
        <w:numPr>
          <w:ilvl w:val="0"/>
          <w:numId w:val="1017"/>
        </w:numPr>
        <w:pStyle w:val="Compact"/>
      </w:pPr>
      <w:r>
        <w:t xml:space="preserve">Usuário de teste possui função Dayu_User (não administrador).</w:t>
      </w:r>
    </w:p>
    <w:p>
      <w:pPr>
        <w:pStyle w:val="DefinitionTerm"/>
      </w:pPr>
      <w:r>
        <w:t xml:space="preserve">Procedimento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console do DataArts Studio, navegar até Arquitetura de Dados $$ Mascaramento de Dados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se a regra de mascaramento para customers.ssn está ativa e utiliza a estratégia Mascarar Tudo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Consultar a tabela customers como usuário de teste via console SQL do DataArts Studio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se a coluna ssn retorna valores mascarados (ex.: *********) em vez dos dados reais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Consultar a mesma tabela como usuário administrador e verificar se os valores reais são retornados</w:t>
            </w:r>
          </w:p>
        </w:tc>
      </w:tr>
    </w:tbl>
    <w:p>
      <w:pPr>
        <w:pStyle w:val="DefinitionTerm"/>
      </w:pPr>
      <w:r>
        <w:t xml:space="preserve">Resultado Esperado</w:t>
      </w:r>
    </w:p>
    <w:p>
      <w:pPr>
        <w:numPr>
          <w:ilvl w:val="0"/>
          <w:numId w:val="1018"/>
        </w:numPr>
        <w:pStyle w:val="Compact"/>
      </w:pPr>
      <w:r>
        <w:t xml:space="preserve">Regra de mascaramento ativa para customers.ssn.</w:t>
      </w:r>
    </w:p>
    <w:p>
      <w:pPr>
        <w:numPr>
          <w:ilvl w:val="0"/>
          <w:numId w:val="1018"/>
        </w:numPr>
        <w:pStyle w:val="Compact"/>
      </w:pPr>
      <w:r>
        <w:t xml:space="preserve">Usuário não administrador visualiza valores mascarados na coluna ssn.</w:t>
      </w:r>
    </w:p>
    <w:p>
      <w:pPr>
        <w:numPr>
          <w:ilvl w:val="0"/>
          <w:numId w:val="1018"/>
        </w:numPr>
        <w:pStyle w:val="Compact"/>
      </w:pPr>
      <w:r>
        <w:t xml:space="preserve">Usuário administrador visualiza valores reais na coluna ssn.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Regras de mascaramento de dados são aplicadas no momento da consulta — os dados subjacentes no OBS/HDFS não são modificados.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8" w:name="configuração-do-ambiente-e-ferramentas"/>
      <w:r>
        <w:rPr>
          <w:sz w:val="112"/>
          <w:szCs w:val="112"/>
        </w:rPr>
        <w:t xml:space="preserve">5</w:t>
      </w:r>
      <w:r>
        <w:tab/>
      </w:r>
      <w:r>
        <w:t xml:space="preserve">Configuração do Ambiente e Ferramentas</w:t>
      </w:r>
      <w:bookmarkEnd w:id="108"/>
    </w:p>
    <w:p>
      <w:pPr>
        <w:pStyle w:val="Heading2"/>
      </w:pPr>
      <w:r>
        <w:rPr>
          <w:rStyle w:val="SectionNumber"/>
        </w:rPr>
        <w:t xml:space="preserve">0.9</w:t>
      </w:r>
      <w:r>
        <w:tab/>
      </w:r>
      <w:r>
        <w:t xml:space="preserve">TC-009: Verificar implantação de infraestrutura via Terraform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 configuração Terraform implanta todos os</w:t>
      </w:r>
      <w:r>
        <w:t xml:space="preserve"> </w:t>
      </w:r>
      <w:r>
        <w:t xml:space="preserve">recursos de infraestrutura necessários (VPC, MRS, OBS, DataArts Studio)</w:t>
      </w:r>
      <w:r>
        <w:t xml:space="preserve"> </w:t>
      </w:r>
      <w:r>
        <w:t xml:space="preserve">sem erros e que o arquivo de estado reflete os recursos esperados.</w:t>
      </w:r>
    </w:p>
    <w:p>
      <w:pPr>
        <w:pStyle w:val="DefinitionTerm"/>
      </w:pPr>
      <w:r>
        <w:t xml:space="preserve">Pré-requisitos</w:t>
      </w:r>
    </w:p>
    <w:p>
      <w:pPr>
        <w:numPr>
          <w:ilvl w:val="0"/>
          <w:numId w:val="1019"/>
        </w:numPr>
        <w:pStyle w:val="Compact"/>
      </w:pPr>
      <w:r>
        <w:t xml:space="preserve">CLI terraform instalada (versão $$ 1.0).</w:t>
      </w:r>
    </w:p>
    <w:p>
      <w:pPr>
        <w:numPr>
          <w:ilvl w:val="0"/>
          <w:numId w:val="1019"/>
        </w:numPr>
        <w:pStyle w:val="Compact"/>
      </w:pPr>
      <w:r>
        <w:t xml:space="preserve">Credenciais AK/SK configuradas via variáveis de ambiente ou provider.tf.</w:t>
      </w:r>
    </w:p>
    <w:p>
      <w:pPr>
        <w:numPr>
          <w:ilvl w:val="0"/>
          <w:numId w:val="1019"/>
        </w:numPr>
        <w:pStyle w:val="Compact"/>
      </w:pPr>
      <w:r>
        <w:t xml:space="preserve">Arquivos de configuração Terraform no diretório do projeto.</w:t>
      </w:r>
    </w:p>
    <w:p>
      <w:pPr>
        <w:pStyle w:val="DefinitionTerm"/>
      </w:pPr>
      <w:r>
        <w:t xml:space="preserve">Procedimento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Navegar até o diretório do projeto Terraform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Executar terraform init para inicializar o diretório de trabalho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Executar terraform plan e revisar as alterações planejadas — confirmar que todos os recursos esperados estão listados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Executar terraform apply -auto-approve e aguardar a conclusão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Executar terraform output e verificar se todos os valores de saída estão preenchidos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Executar terraform state list e confirmar que a contagem de recursos corresponde à arquitetura</w:t>
            </w:r>
          </w:p>
        </w:tc>
      </w:tr>
    </w:tbl>
    <w:p>
      <w:pPr>
        <w:pStyle w:val="DefinitionTerm"/>
      </w:pPr>
      <w:r>
        <w:t xml:space="preserve">Resultado Esperado</w:t>
      </w:r>
    </w:p>
    <w:p>
      <w:pPr>
        <w:numPr>
          <w:ilvl w:val="0"/>
          <w:numId w:val="1020"/>
        </w:numPr>
        <w:pStyle w:val="Compact"/>
      </w:pPr>
      <w:r>
        <w:t xml:space="preserve">terraform apply conclui sem erros.</w:t>
      </w:r>
    </w:p>
    <w:p>
      <w:pPr>
        <w:numPr>
          <w:ilvl w:val="0"/>
          <w:numId w:val="1020"/>
        </w:numPr>
        <w:pStyle w:val="Compact"/>
      </w:pPr>
      <w:r>
        <w:t xml:space="preserve">Todos os valores de saída estão preenchidos (ID do cluster, nome do bucket, ID da VPC).</w:t>
      </w:r>
    </w:p>
    <w:p>
      <w:pPr>
        <w:numPr>
          <w:ilvl w:val="0"/>
          <w:numId w:val="1020"/>
        </w:numPr>
        <w:pStyle w:val="Compact"/>
      </w:pPr>
      <w:r>
        <w:t xml:space="preserve">Contagem de recursos no estado corresponde à especificação da arquitetura.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terraform apply falhar, verificar as credenciais AK/SK e os limites de cota da região sa-brazil-1.</w:t>
      </w:r>
    </w:p>
    <w:p>
      <w:pPr>
        <w:pStyle w:val="Heading2"/>
      </w:pPr>
      <w:r>
        <w:rPr>
          <w:rStyle w:val="SectionNumber"/>
        </w:rPr>
        <w:t xml:space="preserve">0.10</w:t>
      </w:r>
      <w:r>
        <w:tab/>
      </w:r>
      <w:r>
        <w:t xml:space="preserve">TC-010: Verificar carregamento de dados de teste no OBS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todos os arquivos de dados de teste necessários</w:t>
      </w:r>
      <w:r>
        <w:t xml:space="preserve"> </w:t>
      </w:r>
      <w:r>
        <w:t xml:space="preserve">(CSV, JSON) podem ser carregados no bucket OBS designado e são acessíveis</w:t>
      </w:r>
      <w:r>
        <w:t xml:space="preserve"> </w:t>
      </w:r>
      <w:r>
        <w:t xml:space="preserve">pelo pipeline do DataArts Studio.</w:t>
      </w:r>
    </w:p>
    <w:p>
      <w:pPr>
        <w:pStyle w:val="DefinitionTerm"/>
      </w:pPr>
      <w:r>
        <w:t xml:space="preserve">Pré-requisitos</w:t>
      </w:r>
    </w:p>
    <w:p>
      <w:pPr>
        <w:numPr>
          <w:ilvl w:val="0"/>
          <w:numId w:val="1021"/>
        </w:numPr>
        <w:pStyle w:val="Compact"/>
      </w:pPr>
      <w:r>
        <w:t xml:space="preserve">TC-002 concluído (bucket OBS acessível).</w:t>
      </w:r>
    </w:p>
    <w:p>
      <w:pPr>
        <w:numPr>
          <w:ilvl w:val="0"/>
          <w:numId w:val="1021"/>
        </w:numPr>
        <w:pStyle w:val="Compact"/>
      </w:pPr>
      <w:r>
        <w:t xml:space="preserve">Arquivos de dados de teste preparados no diretório local ./test-data/.</w:t>
      </w:r>
    </w:p>
    <w:p>
      <w:pPr>
        <w:numPr>
          <w:ilvl w:val="0"/>
          <w:numId w:val="1021"/>
        </w:numPr>
        <w:pStyle w:val="Compact"/>
      </w:pPr>
      <w:r>
        <w:t xml:space="preserve">CLI obsutil configurada com as credenciais do usuário de teste.</w:t>
      </w:r>
    </w:p>
    <w:p>
      <w:pPr>
        <w:pStyle w:val="DefinitionTerm"/>
      </w:pPr>
      <w:r>
        <w:t xml:space="preserve">Procedimento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 os arquivos de dados de teste locais e verificar sua integridade (contagem de linhas, esquema)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Carregar todos os arquivos no bucket OBS raw usando obsutil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se cada arquivo existe no OBS listando o conteúdo do bucket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Baixar um arquivo de amostra do OBS e compará-lo com o original local (checksum)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DataArts Studio, verificar se a conexão de fonte de dados consegue ler os arquivos carregados</w:t>
            </w:r>
          </w:p>
        </w:tc>
      </w:tr>
    </w:tbl>
    <w:p>
      <w:pPr>
        <w:pStyle w:val="DefinitionTerm"/>
      </w:pPr>
      <w:r>
        <w:t xml:space="preserve">Resultado Esperado</w:t>
      </w:r>
    </w:p>
    <w:p>
      <w:pPr>
        <w:numPr>
          <w:ilvl w:val="0"/>
          <w:numId w:val="1022"/>
        </w:numPr>
        <w:pStyle w:val="Compact"/>
      </w:pPr>
      <w:r>
        <w:t xml:space="preserve">Todos os arquivos de dados de teste são carregados sem erros.</w:t>
      </w:r>
    </w:p>
    <w:p>
      <w:pPr>
        <w:numPr>
          <w:ilvl w:val="0"/>
          <w:numId w:val="1022"/>
        </w:numPr>
        <w:pStyle w:val="Compact"/>
      </w:pPr>
      <w:r>
        <w:t xml:space="preserve">A listagem do bucket mostra todos os arquivos carregados com tamanhos corretos.</w:t>
      </w:r>
    </w:p>
    <w:p>
      <w:pPr>
        <w:numPr>
          <w:ilvl w:val="0"/>
          <w:numId w:val="1022"/>
        </w:numPr>
        <w:pStyle w:val="Compact"/>
      </w:pPr>
      <w:r>
        <w:t xml:space="preserve">O checksum do arquivo baixado corresponde ao original local.</w:t>
      </w:r>
    </w:p>
    <w:p>
      <w:pPr>
        <w:numPr>
          <w:ilvl w:val="0"/>
          <w:numId w:val="1022"/>
        </w:numPr>
        <w:pStyle w:val="Compact"/>
      </w:pPr>
      <w:r>
        <w:t xml:space="preserve">A conexão de fonte de dados do DataArts Studio consegue ler os arquivos.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Arquivos grandes ($&gt;$1 GB) devem ser carregados usando o recurso de upload multipart do OBS para maior confiabilidade.</w:t>
      </w:r>
    </w:p>
    <w:p>
      <w:pPr>
        <w:pStyle w:val="FirstParagraph"/>
      </w:pPr>
      <w:r>
        <w:rPr>
          <w:iCs/>
          <w:i/>
        </w:rPr>
        <w:t xml:space="preserve">[Image placeholder: Captura de tela do painel de execução de testes mostrando os resultados de todos os casos de teste]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9" w:name="sec-changelog"/>
      <w:r>
        <w:rPr>
          <w:sz w:val="112"/>
          <w:szCs w:val="112"/>
        </w:rPr>
        <w:t xml:space="preserve">6</w:t>
      </w:r>
      <w:r>
        <w:tab/>
      </w:r>
      <w:r>
        <w:t xml:space="preserve">Histórico de versões</w:t>
      </w:r>
      <w:bookmarkEnd w:id="109"/>
    </w:p>
    <w:p>
      <w:pPr>
        <w:pBdr>
          <w:bottom w:val="single" w:sz="4" w:space="1" w:color="000000"/>
        </w:pBdr>
        <w:spacing w:after="120"/>
      </w:pPr>
    </w:p>
    <w:p>
      <w:pPr>
        <w:tabs>
          <w:tab w:val="right" w:pos="9638"/>
        </w:tabs>
      </w:pPr>
      <w:r>
        <w:rPr>
          <w:b/>
        </w:rPr>
        <w:t xml:space="preserve">2.0.0</w:t>
      </w:r>
      <w:r>
        <w:tab/>
      </w:r>
      <w:r>
        <w:rPr>
          <w:i/>
        </w:rPr>
        <w:t xml:space="preserve">2026-09-12</w:t>
      </w:r>
    </w:p>
    <w:p>
      <w:pPr>
        <w:pStyle w:val="BodyText"/>
      </w:pPr>
      <w:r>
        <w:t xml:space="preserve">Layout de casos de teste redesenhado: barras de cabeçalho mini de largura total para cada campo, ambiente testprocedure com tabela de passos de 2 colunas, ordem dos campos atualizada (Resultado do Teste antes de Observações).</w:t>
      </w:r>
    </w:p>
    <w:p>
      <w:pPr>
        <w:tabs>
          <w:tab w:val="right" w:pos="9638"/>
        </w:tabs>
      </w:pPr>
      <w:r>
        <w:rPr>
          <w:b/>
        </w:rPr>
        <w:t xml:space="preserve">1.1.0</w:t>
      </w:r>
      <w:r>
        <w:tab/>
      </w:r>
      <w:r>
        <w:rPr>
          <w:i/>
        </w:rPr>
        <w:t xml:space="preserve">2026-09-12</w:t>
      </w:r>
    </w:p>
    <w:p>
      <w:pPr>
        <w:pStyle w:val="BodyText"/>
      </w:pPr>
      <w:r>
        <w:t xml:space="preserve">Adicionadas demonstrações abrangentes de recursos: caixas de destaque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tip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infobox</w:t>
      </w:r>
      <w:r>
        <w:t xml:space="preserve">; blocos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;</w:t>
      </w:r>
      <w:r>
        <w:t xml:space="preserve"> </w:t>
      </w:r>
      <w:r>
        <w:rPr>
          <w:rStyle w:val="VerbatimChar"/>
        </w:rPr>
        <w:t xml:space="preserve">weblink</w:t>
      </w:r>
      <w:r>
        <w:t xml:space="preserve">;</w:t>
      </w:r>
      <w:r>
        <w:t xml:space="preserve"> </w:t>
      </w:r>
      <w:r>
        <w:rPr>
          <w:rStyle w:val="VerbatimChar"/>
        </w:rPr>
        <w:t xml:space="preserve">note</w:t>
      </w:r>
      <w:r>
        <w:t xml:space="preserve">;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;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imagecap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imageplaceholder</w:t>
      </w:r>
      <w:r>
        <w:t xml:space="preserve">; caminhos</w:t>
      </w:r>
      <w:r>
        <w:t xml:space="preserve"> </w:t>
      </w:r>
      <w:r>
        <w:rPr>
          <w:rStyle w:val="VerbatimChar"/>
        </w:rPr>
        <w:t xml:space="preserve">menu</w:t>
      </w:r>
      <w:r>
        <w:t xml:space="preserve">; e referências</w:t>
      </w:r>
      <w:r>
        <w:t xml:space="preserve"> </w:t>
      </w:r>
      <w:r>
        <w:rPr>
          <w:rStyle w:val="VerbatimChar"/>
        </w:rPr>
        <w:t xml:space="preserve">inlinecode</w:t>
      </w:r>
      <w:r>
        <w:t xml:space="preserve">.</w:t>
      </w:r>
    </w:p>
    <w:p>
      <w:pPr>
        <w:pStyle w:val="BodyText"/>
      </w:pPr>
      <w:r>
        <w:t xml:space="preserve">Adicionados casos de teste de Segurança e Controle de Acesso (TC-007, TC-008).</w:t>
      </w:r>
    </w:p>
    <w:p>
      <w:pPr>
        <w:pStyle w:val="BodyText"/>
      </w:pPr>
      <w:r>
        <w:t xml:space="preserve">Adicionados casos de teste de Configuração do Ambiente e Ferramentas (TC-009, TC-010).</w:t>
      </w:r>
    </w:p>
    <w:p>
      <w:pPr>
        <w:tabs>
          <w:tab w:val="right" w:pos="9638"/>
        </w:tabs>
      </w:pPr>
      <w:r>
        <w:rPr>
          <w:b/>
        </w:rPr>
        <w:t xml:space="preserve">1.0.0</w:t>
      </w:r>
      <w:r>
        <w:tab/>
      </w:r>
      <w:r>
        <w:rPr>
          <w:i/>
        </w:rPr>
        <w:t xml:space="preserve">2026-09-12</w:t>
      </w:r>
    </w:p>
    <w:p>
      <w:pPr>
        <w:pStyle w:val="BodyText"/>
      </w:pPr>
      <w:r>
        <w:t xml:space="preserve">Versão inicial.</w:t>
      </w:r>
    </w:p>
    <w:p>
      <w:pPr>
        <w:pStyle w:val="BodyText"/>
      </w:pPr>
      <w:r>
        <w:t xml:space="preserve">Adicionados casos de teste de Arquitetura da Plataforma (TC-001 a TC-003).</w:t>
      </w:r>
    </w:p>
    <w:p>
      <w:pPr>
        <w:pStyle w:val="BodyText"/>
      </w:pPr>
      <w:r>
        <w:t xml:space="preserve">Adicionados casos de teste de Engenharia de Dados (TC-004 a TC-006).</w:t>
      </w:r>
    </w:p>
    <w:p>
      <w:pPr>
        <w:pBdr>
          <w:top w:val="single" w:sz="4" w:space="1" w:color="000000"/>
        </w:pBdr>
      </w:pPr>
    </w:p>
    <w:sectPr>
      <w:headerReference r:id="rId9" w:type="default"/>
      <w:footerReference r:id="rId10" w:type="default"/>
      <w:pgSz w:h="16838" w:w="11906"/>
      <w:pgMar w:bottom="1701" w:left="1134" w:right="1134" w:top="1701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HarmonyOS Sans" w:hAnsi="HarmonyOS Sans"/>
        <w:sz w:val="20"/>
      </w:rPr>
      <w:fldChar w:fldCharType="begin"/>
    </w:r>
    <w:r>
      <w:rPr>
        <w:rFonts w:ascii="HarmonyOS Sans" w:hAnsi="HarmonyOS Sans"/>
        <w:sz w:val="20"/>
      </w:rPr>
      <w:instrText xml:space="preserve"> STYLEREF "Title" \* MERGEFORMAT </w:instrText>
    </w:r>
    <w:r>
      <w:rPr>
        <w:rFonts w:ascii="HarmonyOS Sans" w:hAnsi="HarmonyOS Sans"/>
        <w:sz w:val="20"/>
      </w:rPr>
      <w:fldChar w:fldCharType="separate"/>
    </w:r>
    <w:r>
      <w:rPr>
        <w:rFonts w:ascii="HarmonyOS Sans" w:hAnsi="HarmonyOS Sans"/>
        <w:sz w:val="20"/>
      </w:rPr>
      <w:t>Document Title</w:t>
    </w:r>
    <w:r>
      <w:rPr>
        <w:rFonts w:ascii="HarmonyOS Sans" w:hAnsi="HarmonyOS Sans"/>
        <w:sz w:val="20"/>
      </w:rP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480" w:hanging="240"/>
      </w:pPr>
    </w:lvl>
    <w:lvl w:ilvl="1">
      <w:numFmt w:val="bullet"/>
      <w:lvlText w:val=" "/>
      <w:lvlJc w:val="left"/>
      <w:pPr>
        <w:ind w:left="960" w:hanging="240"/>
      </w:pPr>
    </w:lvl>
    <w:lvl w:ilvl="2">
      <w:numFmt w:val="bullet"/>
      <w:lvlText w:val=" "/>
      <w:lvlJc w:val="left"/>
      <w:pPr>
        <w:ind w:left="1440" w:hanging="24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480" w:hanging="240"/>
      </w:pPr>
    </w:lvl>
    <w:lvl w:ilvl="1">
      <w:numFmt w:val="bullet"/>
      <w:lvlText w:val="–"/>
      <w:lvlJc w:val="left"/>
      <w:pPr>
        <w:ind w:left="960" w:hanging="240"/>
      </w:pPr>
    </w:lvl>
    <w:lvl w:ilvl="2">
      <w:numFmt w:val="bullet"/>
      <w:lvlText w:val="•"/>
      <w:lvlJc w:val="left"/>
      <w:pPr>
        <w:ind w:left="1440" w:hanging="24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480" w:hanging="240"/>
      </w:pPr>
    </w:lvl>
    <w:lvl w:ilvl="1">
      <w:start w:val="1"/>
      <w:numFmt w:val="decimal"/>
      <w:lvlText w:val="%2."/>
      <w:lvlJc w:val="left"/>
      <w:pPr>
        <w:ind w:left="960" w:hanging="240"/>
      </w:pPr>
    </w:lvl>
    <w:lvl w:ilvl="2">
      <w:start w:val="1"/>
      <w:numFmt w:val="decimal"/>
      <w:lvlText w:val="%3."/>
      <w:lvlJc w:val="left"/>
      <w:pPr>
        <w:ind w:left="1440" w:hanging="24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HarmonyOS Sans" w:asciiTheme="minorHAnsi" w:cs="HarmonyOS Sans" w:cstheme="minorBidi" w:eastAsia="HarmonyOS Sans" w:eastAsiaTheme="minorHAnsi" w:hAnsi="HarmonyOS Sans" w:hAnsiTheme="minorHAnsi"/>
        <w:sz w:val="21"/>
        <w:szCs w:val="21"/>
        <w:lang w:bidi="ar-SA" w:eastAsia="en-US" w:val="pt"/>
      </w:rPr>
    </w:rPrDefault>
    <w:pPrDefault>
      <w:pPr>
        <w:spacing w:after="80" w:line="280" w:lineRule="atLeast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1"/>
      <w:szCs w:val="21"/>
    </w:rPr>
    <w:pPr>
      <w:spacing w:after="80" w:line="280" w:lineRule="atLeast"/>
    </w:pPr>
  </w:style>
  <w:style w:styleId="BodyText" w:type="paragraph">
    <w:name w:val="Body Text"/>
    <w:basedOn w:val="Normal"/>
    <w:link w:val="BodyTextChar"/>
    <w:pPr>
      <w:spacing w:after="80" w:before="0"/>
    </w:pPr>
    <w:qFormat/>
  </w:style>
  <w:style w:customStyle="1" w:styleId="FirstParagraph" w:type="paragraph">
    <w:name w:val="First Paragraph"/>
    <w:basedOn w:val="BodyText"/>
    <w:next w:val="BodyText"/>
    <w:qFormat/>
    <w:pPr>
      <w:spacing w:after="80" w:befor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560" w:before="1248"/>
      <w:jc w:val="center"/>
    </w:pPr>
    <w:rPr>
      <w:rFonts w:ascii="HarmonyOS Sans" w:hAnsi="HarmonyOS Sans"/>
      <w:b/>
      <w:bCs/>
      <w:color w:val="1F2328"/>
      <w:sz w:val="72"/>
      <w:szCs w:val="7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val="single" w:sz="12" w:space="1" w:color="C7000B"/>
      </w:pBdr>
      <w:spacing w:after="600" w:before="0"/>
      <w:outlineLvl w:val="0"/>
    </w:pPr>
    <w:rPr>
      <w:rFonts w:ascii="HarmonyOS Sans" w:hAnsi="HarmonyOS Sans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600"/>
      <w:outlineLvl w:val="1"/>
    </w:pPr>
    <w:rPr>
      <w:rFonts w:ascii="HarmonyOS Sans" w:hAnsi="HarmonyOS Sans"/>
      <w:color w:val="1F2328"/>
      <w:sz w:val="36"/>
      <w:szCs w:val="3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outlineLvl w:val="2"/>
    </w:pPr>
    <w:rPr>
      <w:rFonts w:ascii="HarmonyOS Sans" w:hAnsi="HarmonyOS Sans"/>
      <w:color w:val="1F2328"/>
      <w:sz w:val="32"/>
      <w:szCs w:val="3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160"/>
      <w:outlineLvl w:val="3"/>
    </w:pPr>
    <w:rPr>
      <w:rFonts w:ascii="HarmonyOS Sans" w:hAnsi="HarmonyOS Sans"/>
      <w:color w:val="1F2328"/>
      <w:sz w:val="28"/>
      <w:szCs w:val="28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HarmonyOS Sans" w:hAnsi="HarmonyOS Sans"/>
      <w:iCs/>
      <w:color w:val="1F2328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HarmonyOS Sans" w:hAnsi="HarmonyOS Sans"/>
      <w:color w:val="1F2328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HarmonyOS Sans" w:hAnsi="HarmonyOS Sans"/>
      <w:color w:val="1F2328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HarmonyOS Sans" w:hAnsi="HarmonyOS Sans"/>
      <w:color w:val="1F2328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HarmonyOS Sans" w:hAnsi="HarmonyOS Sans"/>
      <w:color w:val="1F2328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120"/>
      <w:jc w:val="center"/>
    </w:pPr>
    <w:rPr>
      <w:i/>
      <w:rFonts w:ascii="HarmonyOS Sans" w:hAnsi="HarmonyOS Sans"/>
      <w:b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ascadia Code" w:hAnsi="Cascadia Code"/>
      <w:color w:val="1F2328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HarmonyOS Sans" w:hAnsi="HarmonyOS Sans"/>
      <w:color w:val="0000FF"/>
      <w:sz w:val="21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pBdr>
        <w:bottom w:val="single" w:sz="4" w:space="1" w:color="000000"/>
      </w:pBdr>
    </w:pPr>
    <w:rPr>
      <w:rFonts w:ascii="HarmonyOS Sans" w:hAnsi="HarmonyOS Sans"/>
      <w:b/>
      <w:color w:val="1F2328"/>
      <w:sz w:val="44"/>
      <w:szCs w:val="44"/>
    </w:rPr>
  </w:style>
  <w:style w:customStyle="1" w:styleId="warning" w:type="paragraph">
    <w:name w:val="warning"/>
    <w:pPr>
      <w:pBdr>
        <w:left w:color="F57C00" w:space="4" w:sz="24" w:val="single"/>
      </w:pBdr>
      <w:shd w:fill="FFF8E1" w:val="clear"/>
      <w:ind w:left="283"/>
      <w:spacing w:before="120" w:after="120"/>
    </w:pPr>
  </w:style>
  <w:style w:customStyle="1" w:styleId="tip" w:type="paragraph">
    <w:name w:val="tip"/>
    <w:pPr>
      <w:pBdr>
        <w:left w:color="2E7D32" w:space="4" w:sz="24" w:val="single"/>
      </w:pBdr>
      <w:shd w:fill="E8F5E9" w:val="clear"/>
      <w:ind w:left="283"/>
      <w:spacing w:before="120" w:after="120"/>
    </w:pPr>
  </w:style>
  <w:style w:customStyle="1" w:styleId="infobox" w:type="paragraph">
    <w:name w:val="infobox"/>
    <w:pPr>
      <w:pBdr>
        <w:left w:color="1565C0" w:space="4" w:sz="24" w:val="single"/>
      </w:pBdr>
      <w:shd w:fill="E3F2FD" w:val="clear"/>
      <w:ind w:left="283"/>
      <w:spacing w:before="120" w:after="120"/>
    </w:pPr>
  </w:style>
  <w:style w:customStyle="1" w:styleId="objectives" w:type="paragraph">
    <w:name w:val="objectives"/>
  </w:style>
  <w:style w:customStyle="1" w:styleId="changelog" w:type="paragraph">
    <w:name w:val="changelog"/>
  </w:style>
  <w:style w:customStyle="1" w:styleId="hutable" w:type="paragraph">
    <w:name w:val="hutable"/>
  </w:style>
  <w:style w:customStyle="1" w:styleId="SourceCode" w:type="paragraph">
    <w:name w:val="Source Code"/>
    <w:pPr>
      <w:shd w:fill="F6F8FA" w:val="clear"/>
      <w:ind w:left="397" w:right="284"/>
      <w:spacing w:before="120" w:after="120"/>
    </w:pPr>
    <w:rPr>
      <w:rFonts w:ascii="Cascadia Code" w:hAnsi="Cascadia Code"/>
      <w:color w:val="1F2328"/>
      <w:sz w:val="20"/>
      <w:szCs w:val="20"/>
    </w:rPr>
  </w:style>
  <w:style w:customStyle="1" w:styleId="badge" w:type="character">
    <w:name w:val="badge"/>
    <w:rPr>
      <w:rFonts w:ascii="HarmonyOS Sans" w:hAnsi="HarmonyOS Sans"/>
      <w:b/>
      <w:color w:val="FFFFFF"/>
      <w:sz w:val="16"/>
      <w:shd w:fill="C7000B" w:val="clear" w:color="auto"/>
      <w:szCs w:val="16"/>
    </w:rPr>
  </w:style>
  <w:style w:customStyle="1" w:styleId="CoverLogo" w:type="paragraph">
    <w:name w:val="CoverLogo"/>
    <w:pPr>
      <w:spacing w:after="200" w:before="200"/>
      <w:jc w:val="center"/>
    </w:pPr>
  </w:style>
  <w:style w:customStyle="1" w:styleId="CoverText" w:type="paragraph">
    <w:name w:val="CoverText"/>
    <w:pPr>
      <w:spacing w:after="200" w:before="600"/>
      <w:jc w:val="center"/>
    </w:pPr>
    <w:rPr>
      <w:rFonts w:ascii="HarmonyOS Sans" w:hAnsi="HarmonyOS Sans"/>
      <w:color w:val="1F2328"/>
      <w:sz w:val="32"/>
    </w:rPr>
  </w:style>
  <w:style w:customStyle="1" w:styleId="CoverMeta" w:type="paragraph">
    <w:name w:val="CoverMeta"/>
    <w:pPr>
      <w:spacing w:after="200" w:before="100"/>
      <w:jc w:val="center"/>
    </w:pPr>
    <w:rPr>
      <w:rFonts w:ascii="HarmonyOS Sans" w:hAnsi="HarmonyOS Sans"/>
      <w:color w:val="595959"/>
      <w:sz w:val="24"/>
    </w:rPr>
  </w:style>
  <w:style w:customStyle="1" w:styleId="TOCTitle" w:type="paragraph">
    <w:name w:val="TOCTitle"/>
    <w:pPr>
      <w:spacing w:after="200" w:before="0"/>
      <w:jc w:val="right"/>
    </w:pPr>
    <w:rPr>
      <w:rFonts w:ascii="HarmonyOS Sans" w:hAnsi="HarmonyOS Sans"/>
      <w:b/>
      <w:color w:val="1F2328"/>
      <w:sz w:val="44"/>
    </w:rPr>
  </w:style>
  <w:style w:customStyle="1" w:styleId="ImageBlock" w:type="paragraph">
    <w:name w:val="ImageBlock"/>
    <w:pPr>
      <w:spacing w:after="120" w:before="120"/>
      <w:jc w:val="center"/>
    </w:pPr>
  </w:style>
  <w:style w:customStyle="1" w:styleId="ObjectivesRule" w:type="paragraph">
    <w:name w:val="ObjectivesRule"/>
    <w:pPr>
      <w:spacing w:after="200" w:before="80"/>
      <w:pBdr>
        <w:bottom w:color="000000" w:space="1" w:sz="12" w:val="single"/>
      </w:pBdr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styleId="TOC1">
    <w:name w:val="toc1"/>
    <w:basedOn w:val="Normal"/>
    <w:next w:val="Normal"/>
    <w:uiPriority w:val="9"/>
    <w:qFormat/>
    <w:pPr>
      <w:tabs>
        <w:tab w:val="right" w:leader="dot" w:pos="9000"/>
      </w:tabs>
      <w:ind w:left="0"/>
      <w:spacing w:after="40"/>
    </w:pPr>
  </w:style>
  <w:style w:type="paragraph" w:styleId="TOC2">
    <w:name w:val="toc2"/>
    <w:basedOn w:val="Normal"/>
    <w:next w:val="Normal"/>
    <w:uiPriority w:val="9"/>
    <w:qFormat/>
    <w:pPr>
      <w:tabs>
        <w:tab w:val="right" w:leader="dot" w:pos="9000"/>
      </w:tabs>
      <w:ind w:left="420"/>
      <w:spacing w:after="40"/>
    </w:pPr>
  </w:style>
  <w:style w:type="paragraph" w:styleId="TOC3">
    <w:name w:val="toc3"/>
    <w:basedOn w:val="Normal"/>
    <w:next w:val="Normal"/>
    <w:uiPriority w:val="9"/>
    <w:qFormat/>
    <w:pPr>
      <w:tabs>
        <w:tab w:val="right" w:leader="dot" w:pos="9000"/>
      </w:tabs>
      <w:ind w:left="840"/>
      <w:spacing w:after="4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HarmonyOS Sans"/>
        <a:ea typeface="HarmonyOS Sans"/>
        <a:cs typeface="HarmonyOS Sans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HarmonyOS Sans"/>
        <a:ea typeface="HarmonyOS Sans"/>
        <a:cs typeface="HarmonyOS Sans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Teste POC — Validação da Plataforma de Dados</dc:title>
  <dc:creator/>
  <dc:language>pt</dc:language>
  <cp:keywords/>
  <dcterms:created xsi:type="dcterms:W3CDTF">2026-09-12T22:01:32Z</dcterms:created>
  <dcterms:modified xsi:type="dcterms:W3CDTF">2026-09-12T22:01:32Z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-version">
    <vt:lpwstr>2.0.0</vt:lpwstr>
  </property>
</Properties>
</file>