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38"/>
        </w:rPr>
        <w:t>Gabarito: Case 01, FemVest</w:t>
      </w:r>
    </w:p>
    <w:p>
      <w:pPr>
        <w:spacing w:after="120"/>
      </w:pPr>
      <w:r>
        <w:rPr>
          <w:i/>
          <w:color w:val="475569"/>
          <w:sz w:val="18"/>
        </w:rPr>
        <w:t>Semana 1  ·  market entry  ·  material de correção e de estudo</w:t>
      </w:r>
    </w:p>
    <w:p>
      <w:pPr>
        <w:spacing w:after="1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51"/>
            <w:shd w:val="clear" w:fill="FFF9DB"/>
          </w:tcPr>
          <w:p>
            <w:r>
              <w:rPr>
                <w:b/>
                <w:color w:val="8E0C22"/>
                <w:sz w:val="18"/>
              </w:rPr>
              <w:t>Liberar somente depois do fechamento das entregas, na sexta às 23h59. Antes disso este documento fica só com quem corrige.</w:t>
            </w:r>
          </w:p>
        </w:tc>
      </w:tr>
    </w:tbl>
    <w:p>
      <w:pPr>
        <w:spacing w:after="40"/>
      </w:pP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A inconsistência plantada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O contexto e os anexos não fecham entre si, de propósito. A pergunta 1, com as premissas do Anexo A, chega a 131.158 usuárias no ano 1. O Anexo B projeta 145.000 no ano 1. Diferença de 13.842 usuárias, cerca de 11%.</w:t>
      </w:r>
    </w:p>
    <w:p>
      <w:pPr>
        <w:spacing w:after="60"/>
      </w:pPr>
      <w:r>
        <w:rPr>
          <w:b w:val="0"/>
          <w:i w:val="0"/>
          <w:color w:val="1E293B"/>
          <w:sz w:val="18"/>
        </w:rPr>
        <w:t>Quem apontou a divergência e disse com qual número seguiu leva o ponto cheio no critério de premissas e o bônus analítico da semana. Perceber que dois anexos do mesmo material se contradizem é trabalho de consultor, não detalhe.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Pergunta 1: mercado endereçável e receita no ano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62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17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Cálculo</w:t>
            </w:r>
          </w:p>
        </w:tc>
        <w:tc>
          <w:tcPr>
            <w:tcW w:type="dxa" w:w="294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População da Alemanha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color w:val="1E293B"/>
                <w:sz w:val="18"/>
              </w:rPr>
              <w:t>premissa do Anexo A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color w:val="1E293B"/>
                <w:sz w:val="18"/>
              </w:rPr>
              <w:t>83.500.000</w:t>
            </w:r>
          </w:p>
        </w:tc>
      </w:tr>
      <w:tr>
        <w:tc>
          <w:tcPr>
            <w:tcW w:type="dxa" w:w="36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Mulheres</w:t>
            </w:r>
          </w:p>
        </w:tc>
        <w:tc>
          <w:tcPr>
            <w:tcW w:type="dxa" w:w="3175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83.500.000 × 50,5%</w:t>
            </w:r>
          </w:p>
        </w:tc>
        <w:tc>
          <w:tcPr>
            <w:tcW w:type="dxa" w:w="2948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42.167.500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De 25 a 50 anos e digitalmente ativas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color w:val="1E293B"/>
                <w:sz w:val="18"/>
              </w:rPr>
              <w:t>42.167.500 × 36%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15.180.300</w:t>
            </w:r>
          </w:p>
        </w:tc>
      </w:tr>
      <w:tr>
        <w:tc>
          <w:tcPr>
            <w:tcW w:type="dxa" w:w="36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Sem conta em neobroker, mercado endereçável</w:t>
            </w:r>
          </w:p>
        </w:tc>
        <w:tc>
          <w:tcPr>
            <w:tcW w:type="dxa" w:w="3175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15.180.300 × 72%</w:t>
            </w:r>
          </w:p>
        </w:tc>
        <w:tc>
          <w:tcPr>
            <w:tcW w:type="dxa" w:w="2948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10.929.816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Usuárias no ano 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10.929.816 × 1,2%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131.158</w:t>
            </w:r>
          </w:p>
        </w:tc>
      </w:tr>
      <w:tr>
        <w:tc>
          <w:tcPr>
            <w:tcW w:type="dxa" w:w="36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Receita potencial no ano 1</w:t>
            </w:r>
          </w:p>
        </w:tc>
        <w:tc>
          <w:tcPr>
            <w:tcW w:type="dxa" w:w="3175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131.158 × 21 euros</w:t>
            </w:r>
          </w:p>
        </w:tc>
        <w:tc>
          <w:tcPr>
            <w:tcW w:type="dxa" w:w="2948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2,75 milhões de euros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ARPU anual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color w:val="1E293B"/>
                <w:sz w:val="18"/>
              </w:rPr>
              <w:t>premissa do Anexo A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21 euros</w:t>
            </w:r>
          </w:p>
        </w:tc>
      </w:tr>
    </w:tbl>
    <w:p>
      <w:pPr>
        <w:spacing w:after="0"/>
      </w:pPr>
    </w:p>
    <w:p>
      <w:pPr>
        <w:spacing w:before="60" w:after="100"/>
        <w:ind w:left="113"/>
      </w:pPr>
      <w:r>
        <w:rPr>
          <w:b/>
          <w:i/>
          <w:color w:val="8E0C22"/>
          <w:sz w:val="17"/>
        </w:rPr>
        <w:t>O filtro que mais gente esquece é o terceiro. Sem tirar quem já tem conta em outro neobroker, o mercado infla e a tese do case, que é público sub-atendido, perde o sentido. Quem pulou esse filtro chega a 15,2 milhões de endereçável e a uma receita quase 40% maior.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Pergunta 2: a FemVest chega ao ponto de equilíbrio?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62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17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Cálculo</w:t>
            </w:r>
          </w:p>
        </w:tc>
        <w:tc>
          <w:tcPr>
            <w:tcW w:type="dxa" w:w="294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Margem de contribuição por usuária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21 − 7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14 euros por ano</w:t>
            </w:r>
          </w:p>
        </w:tc>
      </w:tr>
      <w:tr>
        <w:tc>
          <w:tcPr>
            <w:tcW w:type="dxa" w:w="36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Ponto de equilíbrio, em usuárias</w:t>
            </w:r>
          </w:p>
        </w:tc>
        <w:tc>
          <w:tcPr>
            <w:tcW w:type="dxa" w:w="3175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5.200.000 ÷ 14</w:t>
            </w:r>
          </w:p>
        </w:tc>
        <w:tc>
          <w:tcPr>
            <w:tcW w:type="dxa" w:w="2948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371.429 usuárias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238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Ano 1</w:t>
            </w:r>
          </w:p>
        </w:tc>
        <w:tc>
          <w:tcPr>
            <w:tcW w:type="dxa" w:w="238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Ano 2</w:t>
            </w:r>
          </w:p>
        </w:tc>
        <w:tc>
          <w:tcPr>
            <w:tcW w:type="dxa" w:w="238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Ano 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Usuárias ativas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145.000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240.000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410.000</w:t>
            </w:r>
          </w:p>
        </w:tc>
      </w:tr>
      <w:tr>
        <w:tc>
          <w:tcPr>
            <w:tcW w:type="dxa" w:w="260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Usuárias novas no ano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145.000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95.000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170.000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Contribuição total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2.030.000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3.360.000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5.740.000</w:t>
            </w:r>
          </w:p>
        </w:tc>
      </w:tr>
      <w:tr>
        <w:tc>
          <w:tcPr>
            <w:tcW w:type="dxa" w:w="260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Custo de aquisição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6.090.000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3.990.000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7.140.000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Custo fixo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5.200.000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5.200.000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color w:val="1E293B"/>
                <w:sz w:val="18"/>
              </w:rPr>
              <w:t>5.200.000</w:t>
            </w:r>
          </w:p>
        </w:tc>
      </w:tr>
      <w:tr>
        <w:tc>
          <w:tcPr>
            <w:tcW w:type="dxa" w:w="260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Resultado do ano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−9.260.000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−5.830.000</w:t>
            </w:r>
          </w:p>
        </w:tc>
        <w:tc>
          <w:tcPr>
            <w:tcW w:type="dxa" w:w="2381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8"/>
              </w:rPr>
              <w:t>−6.600.000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i/>
          <w:color w:val="475569"/>
          <w:sz w:val="17"/>
        </w:rPr>
        <w:t>Prejuízo acumulado nos três anos: 21,69 milhões de euros. Valores em euros.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A resposta completa tem três camadas. Primeira: no ano 3 a contribuição de 5,74 milhões passa o custo fixo de 5,2 milhões, então a operação cruza o equilíbrio, com 410.000 usuárias contra as 371.429 necessárias. Segunda: isso só vale antes do custo de aquisição, porque com ele dentro o resultado segue negativo nos três anos. Terceira: prejuízo estrutural não é sinal de negócio ruim aqui, é o padrão de empresa financiada por venture capital, que queima caixa comprando base enquanto a margem unitária é positiva. A pergunta certa deixa de ser se dá lucro em três anos e passa a ser quanto capital é preciso até a base madurar e se o custo de aquisição cai com escala.</w:t>
      </w:r>
    </w:p>
    <w:p>
      <w:pPr>
        <w:spacing w:before="60" w:after="100"/>
        <w:ind w:left="113"/>
      </w:pPr>
      <w:r>
        <w:rPr>
          <w:b/>
          <w:i/>
          <w:color w:val="8E0C22"/>
          <w:sz w:val="17"/>
        </w:rPr>
        <w:t>O discriminador da semana: o custo de aquisição incide só sobre as usuárias NOVAS de cada ano. Quem aplicou sobre a base inteira chega a 17,22 milhões no ano 3 e a um prejuízo de 16,68 milhões. Não é erro de conta, é erro de premissa, e muda a recomendação. Nota cheia exige a premissa escrita e aplicada de forma consistente nos três anos.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Pergunta 3: estratégia de produto e priorização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Parte aberta, sem resposta única. O critério é usar o gráfico do Anexo C como justificativa em vez de listar ideias. Referência de boa resposta: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7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317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 que entra</w:t>
            </w:r>
          </w:p>
        </w:tc>
        <w:tc>
          <w:tcPr>
            <w:tcW w:type="dxa" w:w="5102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Dado que justifica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Essencial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color w:val="1E293B"/>
                <w:sz w:val="16"/>
              </w:rPr>
              <w:t>ETFs e planos de aporte recorrente, sem taxa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79% de adoção entre mulheres, com diferença de apenas 2 pontos. Maior adoção do público e porta de entrada que não exige conhecimento prévio</w:t>
            </w:r>
          </w:p>
        </w:tc>
      </w:tr>
      <w:tr>
        <w:tc>
          <w:tcPr>
            <w:tcW w:type="dxa" w:w="147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Essencial</w:t>
            </w:r>
          </w:p>
        </w:tc>
        <w:tc>
          <w:tcPr>
            <w:tcW w:type="dxa" w:w="3175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Aplicativo em primeiro lugar e taxa de ordem baixa</w:t>
            </w:r>
          </w:p>
        </w:tc>
        <w:tc>
          <w:tcPr>
            <w:tcW w:type="dxa" w:w="510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Anexo D: taxa baixa é o principal critério de escolha de corretora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Desejável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color w:val="1E293B"/>
                <w:sz w:val="16"/>
              </w:rPr>
              <w:t>Filtro ESG e fundos temáticos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34% contra 22%: é o único produto em que as mulheres indexam ACIMA dos homens, o que transforma preferência em diferencial de produto em vez de discurso</w:t>
            </w:r>
          </w:p>
        </w:tc>
      </w:tr>
      <w:tr>
        <w:tc>
          <w:tcPr>
            <w:tcW w:type="dxa" w:w="147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Desejável</w:t>
            </w:r>
          </w:p>
        </w:tc>
        <w:tc>
          <w:tcPr>
            <w:tcW w:type="dxa" w:w="3175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Consultoria híbrida e hub de educação financeira</w:t>
            </w:r>
          </w:p>
        </w:tc>
        <w:tc>
          <w:tcPr>
            <w:tcW w:type="dxa" w:w="510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Anexo D: autosserviço no dia a dia com apoio quando necessário, e educação sem jargão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Opcional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color w:val="1E293B"/>
                <w:sz w:val="16"/>
              </w:rPr>
              <w:t>Ações individuais e criptomoedas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color w:val="1E293B"/>
                <w:sz w:val="16"/>
              </w:rPr>
              <w:t>Diferenças de 19 e 26 pontos mostram demanda baixa no público-alvo. Entram por completude de portfólio, não por prioridade</w:t>
            </w:r>
          </w:p>
        </w:tc>
      </w:tr>
      <w:tr>
        <w:tc>
          <w:tcPr>
            <w:tcW w:type="dxa" w:w="1474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Opcional</w:t>
            </w:r>
          </w:p>
        </w:tc>
        <w:tc>
          <w:tcPr>
            <w:tcW w:type="dxa" w:w="3175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Comunidade e recursos sociais</w:t>
            </w:r>
          </w:p>
        </w:tc>
        <w:tc>
          <w:tcPr>
            <w:tcW w:type="dxa" w:w="5102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Ajuda retenção e indicação, mas não é o que traz a primeira usuária</w:t>
            </w:r>
          </w:p>
        </w:tc>
      </w:tr>
    </w:tbl>
    <w:p>
      <w:pPr>
        <w:spacing w:after="0"/>
      </w:pPr>
    </w:p>
    <w:p>
      <w:pPr>
        <w:spacing w:before="60" w:after="100"/>
        <w:ind w:left="113"/>
      </w:pPr>
      <w:r>
        <w:rPr>
          <w:b/>
          <w:i/>
          <w:color w:val="8E0C22"/>
          <w:sz w:val="17"/>
        </w:rPr>
        <w:t>Duas coisas valem ponto extra de raciocínio. A primeira é perceber que poupança e ESG invertem o padrão, então a leitura não é apenas que mulheres investem menos, é que investem em outra coisa. A segunda é o alerta contra pinkwashing: posicionamento sem valor real entregue vira alvo fácil, e o próprio case cobra isso.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Pergunta 4: entrada no mercado nas cinco dimensões</w:t>
      </w:r>
    </w:p>
    <w:p>
      <w:pPr>
        <w:spacing w:after="60"/>
      </w:pPr>
      <w:r>
        <w:rPr>
          <w:b w:val="0"/>
          <w:i w:val="0"/>
          <w:color w:val="1E293B"/>
          <w:sz w:val="19"/>
        </w:rPr>
        <w:t>Também aberta. Cobrir as cinco é obrigatório, e quem entregar só ações de marketing, sem precificação e sem métrica, não pontua no critério.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2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782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Referência de boa resposta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Segmento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color w:val="1E293B"/>
                <w:sz w:val="16"/>
              </w:rPr>
              <w:t>Mulheres de 25 a 45 anos, profissionalmente ativas, renda média a alta, alcançáveis de forma escalável por canal digital</w:t>
            </w:r>
          </w:p>
        </w:tc>
      </w:tr>
      <w:tr>
        <w:tc>
          <w:tcPr>
            <w:tcW w:type="dxa" w:w="19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Proposta de valor</w:t>
            </w:r>
          </w:p>
        </w:tc>
        <w:tc>
          <w:tcPr>
            <w:tcW w:type="dxa" w:w="7824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Investimento repensado de verdade para esse público, educação sem jargão, filtro ESG e metas de vida como licença-maternidade e lacuna previdenciária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Canal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color w:val="1E293B"/>
                <w:sz w:val="16"/>
              </w:rPr>
              <w:t>Orgânico antes do lançamento, com criadoras em vídeo curto, para construir lista de espera. Parceria com empregadores, redes de mulheres e universidades para baixar o custo de aquisição. Mídia paga só depois de a conversão estar validada</w:t>
            </w:r>
          </w:p>
        </w:tc>
      </w:tr>
      <w:tr>
        <w:tc>
          <w:tcPr>
            <w:tcW w:type="dxa" w:w="1928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Precificação</w:t>
            </w:r>
          </w:p>
        </w:tc>
        <w:tc>
          <w:tcPr>
            <w:tcW w:type="dxa" w:w="7824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6"/>
              </w:rPr>
              <w:t>Entrada gratuita com ETF, aporte e educação. Camada premium mensal com consultoria híbrida e ferramentas de planejamento. Taxa de ordem baixa como padrão de mercado. Sem PFOF, que está proibido desde julho de 2026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Métricas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color w:val="1E293B"/>
                <w:sz w:val="16"/>
              </w:rPr>
              <w:t>Usuárias ativas, custo de aquisição abaixo dos 42 euros do enunciado, taxa de ativação com primeiro aporte em 30 dias, indicador de recomendação e conversão de gratuito para premium</w:t>
            </w:r>
          </w:p>
        </w:tc>
      </w:tr>
    </w:tbl>
    <w:p>
      <w:pPr>
        <w:spacing w:after="0"/>
      </w:pP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Rubrica de correção</w:t>
      </w:r>
    </w:p>
    <w:p>
      <w:pPr>
        <w:spacing w:after="60"/>
      </w:pPr>
      <w:r>
        <w:rPr>
          <w:b w:val="0"/>
          <w:i w:val="0"/>
          <w:color w:val="1E293B"/>
          <w:sz w:val="18"/>
        </w:rPr>
        <w:t>Escala de 0 a 3 com evidência obrigatória ao lado da nota. Os pesos somam 10, então a nota sai de 0 a 10. Nota final = soma de (nota ÷ 3 × peso).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02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771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1020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C1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Recomendação clara, em uma frase, com o número que a sustenta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</w:t>
            </w:r>
          </w:p>
        </w:tc>
      </w:tr>
      <w:tr>
        <w:tc>
          <w:tcPr>
            <w:tcW w:type="dxa" w:w="1020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A1</w:t>
            </w:r>
          </w:p>
        </w:tc>
        <w:tc>
          <w:tcPr>
            <w:tcW w:type="dxa" w:w="7710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Pergunta 1: dimensionamento correto, com a cadeia de filtros visível</w:t>
            </w:r>
          </w:p>
        </w:tc>
        <w:tc>
          <w:tcPr>
            <w:tcW w:type="dxa" w:w="1020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A2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Pergunta 2: business case dos três anos correto, com a premissa do custo de aquisição declarada e aplicada de forma consistente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</w:t>
            </w:r>
          </w:p>
        </w:tc>
      </w:tr>
      <w:tr>
        <w:tc>
          <w:tcPr>
            <w:tcW w:type="dxa" w:w="1020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R1</w:t>
            </w:r>
          </w:p>
        </w:tc>
        <w:tc>
          <w:tcPr>
            <w:tcW w:type="dxa" w:w="7710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Pergunta 3: priorização justificada com os dados do Anexo C</w:t>
            </w:r>
          </w:p>
        </w:tc>
        <w:tc>
          <w:tcPr>
            <w:tcW w:type="dxa" w:w="1020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R2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Pergunta 4: entrada coberta nas cinco dimensões, inclusive precificação e métricas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</w:t>
            </w:r>
          </w:p>
        </w:tc>
      </w:tr>
      <w:tr>
        <w:tc>
          <w:tcPr>
            <w:tcW w:type="dxa" w:w="1020"/>
            <w:shd w:val="clear" w:fill="F8FAFC"/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E1</w:t>
            </w:r>
          </w:p>
        </w:tc>
        <w:tc>
          <w:tcPr>
            <w:tcW w:type="dxa" w:w="7710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Template preenchido por completo e prazo respeitado</w:t>
            </w:r>
          </w:p>
        </w:tc>
        <w:tc>
          <w:tcPr>
            <w:tcW w:type="dxa" w:w="1020"/>
            <w:shd w:val="clear"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i w:val="0"/>
          <w:color w:val="1E293B"/>
          <w:sz w:val="18"/>
        </w:rPr>
        <w:t>Âncoras: 3 faz o que o critério pede de forma completa e verificável. 2 faz, com uma falha que não muda a conclusão. 1 tentou, mas a execução compromete o uso da informação. 0 não fez ou contradiz os próprios dados. Sem evidência apontada, a nota 3 cai para 2.</w:t>
      </w:r>
    </w:p>
    <w:p>
      <w:pPr>
        <w:keepNext/>
        <w:spacing w:before="160" w:after="40"/>
        <w:pBdr>
          <w:bottom w:val="single" w:sz="6" w:color="C1272D"/>
        </w:pBdr>
      </w:pPr>
      <w:r>
        <w:rPr>
          <w:b/>
          <w:color w:val="C1272D"/>
          <w:sz w:val="22"/>
        </w:rPr>
        <w:t>O que separou entrega boa de entrega correta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Correta: </w:t>
      </w:r>
      <w:r>
        <w:rPr>
          <w:color w:val="1E293B"/>
          <w:sz w:val="19"/>
        </w:rPr>
        <w:t>Aplicou o filtro de quem já tem conta em outro neobroker.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Boa: </w:t>
      </w:r>
      <w:r>
        <w:rPr>
          <w:color w:val="1E293B"/>
          <w:sz w:val="19"/>
        </w:rPr>
        <w:t>Explicou por que esse filtro existe, ligando ao fato de a tese do case ser público sub-atendido.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Correta: </w:t>
      </w:r>
      <w:r>
        <w:rPr>
          <w:color w:val="1E293B"/>
          <w:sz w:val="19"/>
        </w:rPr>
        <w:t>Chegou aos três resultados anuais.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Boa: </w:t>
      </w:r>
      <w:r>
        <w:rPr>
          <w:color w:val="1E293B"/>
          <w:sz w:val="19"/>
        </w:rPr>
        <w:t>Separou o equilíbrio antes e depois do custo de aquisição, e leu o prejuízo no contexto de venture capital.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Correta: </w:t>
      </w:r>
      <w:r>
        <w:rPr>
          <w:color w:val="1E293B"/>
          <w:sz w:val="19"/>
        </w:rPr>
        <w:t>Listou produtos em essencial, desejável e opcional.</w:t>
      </w:r>
    </w:p>
    <w:p>
      <w:pPr>
        <w:pStyle w:val="ListBullet"/>
        <w:spacing w:after="20"/>
        <w:ind w:left="312"/>
      </w:pPr>
      <w:r>
        <w:rPr>
          <w:b/>
          <w:color w:val="1E293B"/>
          <w:sz w:val="19"/>
        </w:rPr>
        <w:t xml:space="preserve">Boa: </w:t>
      </w:r>
      <w:r>
        <w:rPr>
          <w:color w:val="1E293B"/>
          <w:sz w:val="19"/>
        </w:rPr>
        <w:t>Citou o número do gráfico em cada linha e percebeu que ESG e poupança invertem o padrão.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5"/>
      </w:rPr>
      <w:t>Clube de Consultoria Universitário  ·  Gestão de Pessoas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91" w:val="right"/>
      </w:tabs>
    </w:pPr>
    <w:r>
      <w:drawing>
        <wp:inline xmlns:a="http://schemas.openxmlformats.org/drawingml/2006/main" xmlns:pic="http://schemas.openxmlformats.org/drawingml/2006/picture">
          <wp:extent cx="648000" cy="3109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310919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7"/>
      </w:rPr>
      <w:tab/>
      <w:t>Ciclo de cases  ·  Gabarito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