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44"/>
        </w:rPr>
        <w:t>Case 01: Rede Verdemar</w:t>
      </w:r>
    </w:p>
    <w:p>
      <w:pPr>
        <w:spacing w:after="200"/>
      </w:pPr>
      <w:r>
        <w:rPr>
          <w:i/>
          <w:color w:val="475569"/>
          <w:sz w:val="19"/>
        </w:rPr>
        <w:t>Abertura sexta 18/09 às 9h  ·  entrega até sexta 25/09 às 23h59  ·  dupla  ·  máximo 5 slides ou 2 páginas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Contexto</w:t>
      </w:r>
    </w:p>
    <w:p>
      <w:pPr>
        <w:spacing w:after="120"/>
      </w:pPr>
      <w:r>
        <w:rPr>
          <w:b w:val="0"/>
          <w:i w:val="0"/>
          <w:color w:val="1E293B"/>
          <w:sz w:val="21"/>
        </w:rPr>
        <w:t>A Rede Verdemar é uma rede de mercados de vizinhança com seis lojas em Campinas, focada em hortifruti, padaria e conveniência. Fechou 2025 com receita consolidada de R$ 48,0 milhões e um resultado que a família fundadora considera baixo demais para o tamanho da operação.</w:t>
      </w:r>
    </w:p>
    <w:p>
      <w:pPr>
        <w:spacing w:after="120"/>
      </w:pPr>
      <w:r>
        <w:rPr>
          <w:b w:val="0"/>
          <w:i w:val="0"/>
          <w:color w:val="1E293B"/>
          <w:sz w:val="21"/>
        </w:rPr>
        <w:t>A sócia-diretora convocou vocês porque desconfia que uma das lojas está consumindo o resultado das outras, mas nunca conseguiu provar. Ela também quer saber o que fazer com o piloto de delivery, que roda há seis meses e ninguém sabe dizer se dá lucro.</w:t>
      </w:r>
    </w:p>
    <w:p>
      <w:pPr>
        <w:spacing w:after="120"/>
      </w:pPr>
      <w:r>
        <w:rPr>
          <w:b/>
          <w:i w:val="0"/>
          <w:color w:val="1E293B"/>
          <w:sz w:val="21"/>
        </w:rPr>
        <w:t>A meta que ela colocou é objetiva: chegar a R$ 1,9 milhão de EBITDA em 24 meses.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Anexo A: resultado por loja em 2025</w:t>
      </w:r>
    </w:p>
    <w:p>
      <w:pPr>
        <w:spacing w:after="80"/>
      </w:pPr>
      <w:r>
        <w:rPr>
          <w:b w:val="0"/>
          <w:i w:val="0"/>
          <w:color w:val="475569"/>
          <w:sz w:val="18"/>
        </w:rPr>
        <w:t>Valores em R$ mil. Margem bruta é receita menos custo da mercadoria vendida. As despesas listadas são as diretamente atribuíveis a cada loja.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701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Loja</w:t>
            </w:r>
          </w:p>
        </w:tc>
        <w:tc>
          <w:tcPr>
            <w:tcW w:type="dxa" w:w="1020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Área (m²)</w:t>
            </w:r>
          </w:p>
        </w:tc>
        <w:tc>
          <w:tcPr>
            <w:tcW w:type="dxa" w:w="1077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Receita</w:t>
            </w:r>
          </w:p>
        </w:tc>
        <w:tc>
          <w:tcPr>
            <w:tcW w:type="dxa" w:w="1191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Margem bruta</w:t>
            </w:r>
          </w:p>
        </w:tc>
        <w:tc>
          <w:tcPr>
            <w:tcW w:type="dxa" w:w="964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Pessoal</w:t>
            </w:r>
          </w:p>
        </w:tc>
        <w:tc>
          <w:tcPr>
            <w:tcW w:type="dxa" w:w="1644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Aluguel e condomínio</w:t>
            </w:r>
          </w:p>
        </w:tc>
        <w:tc>
          <w:tcPr>
            <w:tcW w:type="dxa" w:w="1304"/>
            <w:shd w:val="clear" w:fill="C1272D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Outras despesas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Barão Geraldo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420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9.600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30%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1.150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480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380</w:t>
            </w:r>
          </w:p>
        </w:tc>
      </w:tr>
      <w:tr>
        <w:tc>
          <w:tcPr>
            <w:tcW w:type="dxa" w:w="170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Cambuí</w:t>
            </w:r>
          </w:p>
        </w:tc>
        <w:tc>
          <w:tcPr>
            <w:tcW w:type="dxa" w:w="1020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610</w:t>
            </w:r>
          </w:p>
        </w:tc>
        <w:tc>
          <w:tcPr>
            <w:tcW w:type="dxa" w:w="1077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8.200</w:t>
            </w:r>
          </w:p>
        </w:tc>
        <w:tc>
          <w:tcPr>
            <w:tcW w:type="dxa" w:w="119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27%</w:t>
            </w:r>
          </w:p>
        </w:tc>
        <w:tc>
          <w:tcPr>
            <w:tcW w:type="dxa" w:w="96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1.420</w:t>
            </w:r>
          </w:p>
        </w:tc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1.150</w:t>
            </w:r>
          </w:p>
        </w:tc>
        <w:tc>
          <w:tcPr>
            <w:tcW w:type="dxa" w:w="130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460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Taquaral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380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7.400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31%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900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390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300</w:t>
            </w:r>
          </w:p>
        </w:tc>
      </w:tr>
      <w:tr>
        <w:tc>
          <w:tcPr>
            <w:tcW w:type="dxa" w:w="170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Sousas</w:t>
            </w:r>
          </w:p>
        </w:tc>
        <w:tc>
          <w:tcPr>
            <w:tcW w:type="dxa" w:w="1020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350</w:t>
            </w:r>
          </w:p>
        </w:tc>
        <w:tc>
          <w:tcPr>
            <w:tcW w:type="dxa" w:w="1077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6.300</w:t>
            </w:r>
          </w:p>
        </w:tc>
        <w:tc>
          <w:tcPr>
            <w:tcW w:type="dxa" w:w="119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32%</w:t>
            </w:r>
          </w:p>
        </w:tc>
        <w:tc>
          <w:tcPr>
            <w:tcW w:type="dxa" w:w="96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820</w:t>
            </w:r>
          </w:p>
        </w:tc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350</w:t>
            </w:r>
          </w:p>
        </w:tc>
        <w:tc>
          <w:tcPr>
            <w:tcW w:type="dxa" w:w="130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270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Centro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520</w:t>
            </w:r>
          </w:p>
        </w:tc>
        <w:tc>
          <w:tcPr>
            <w:tcW w:type="dxa" w:w="1077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8.900</w:t>
            </w:r>
          </w:p>
        </w:tc>
        <w:tc>
          <w:tcPr>
            <w:tcW w:type="dxa" w:w="1191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28%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1.250</w:t>
            </w:r>
          </w:p>
        </w:tc>
        <w:tc>
          <w:tcPr>
            <w:tcW w:type="dxa" w:w="164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620</w:t>
            </w:r>
          </w:p>
        </w:tc>
        <w:tc>
          <w:tcPr>
            <w:tcW w:type="dxa" w:w="1304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410</w:t>
            </w:r>
          </w:p>
        </w:tc>
      </w:tr>
      <w:tr>
        <w:tc>
          <w:tcPr>
            <w:tcW w:type="dxa" w:w="170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Nova Aliança</w:t>
            </w:r>
          </w:p>
        </w:tc>
        <w:tc>
          <w:tcPr>
            <w:tcW w:type="dxa" w:w="1020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400</w:t>
            </w:r>
          </w:p>
        </w:tc>
        <w:tc>
          <w:tcPr>
            <w:tcW w:type="dxa" w:w="1077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6.800</w:t>
            </w:r>
          </w:p>
        </w:tc>
        <w:tc>
          <w:tcPr>
            <w:tcW w:type="dxa" w:w="1191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29%</w:t>
            </w:r>
          </w:p>
        </w:tc>
        <w:tc>
          <w:tcPr>
            <w:tcW w:type="dxa" w:w="96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980</w:t>
            </w:r>
          </w:p>
        </w:tc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520</w:t>
            </w:r>
          </w:p>
        </w:tc>
        <w:tc>
          <w:tcPr>
            <w:tcW w:type="dxa" w:w="1304"/>
            <w:shd w:val="clear" w:fill="F8FAFC"/>
          </w:tcPr>
          <w:p>
            <w:pPr>
              <w:spacing w:after="20"/>
            </w:pPr>
            <w:r>
              <w:rPr>
                <w:color w:val="1E293B"/>
                <w:sz w:val="17"/>
              </w:rPr>
              <w:t>340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b w:val="0"/>
          <w:i w:val="0"/>
          <w:color w:val="475569"/>
          <w:sz w:val="18"/>
        </w:rPr>
        <w:t>A Loja Nova Aliança foi inaugurada há sete meses e ainda está em curva de maturação.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Anexo B: estrutura corporativa</w:t>
      </w:r>
    </w:p>
    <w:p>
      <w:pPr>
        <w:pStyle w:val="ListBullet"/>
        <w:spacing w:after="60"/>
      </w:pPr>
      <w:r>
        <w:rPr>
          <w:color w:val="1E293B"/>
          <w:sz w:val="21"/>
        </w:rPr>
        <w:t>R$ 1.100 mil por ano de custo corporativo, cobrindo escritório, contabilidade, sistema, marketing e a própria sócia-diretora.</w:t>
      </w:r>
    </w:p>
    <w:p>
      <w:pPr>
        <w:pStyle w:val="ListBullet"/>
        <w:spacing w:after="60"/>
      </w:pPr>
      <w:r>
        <w:rPr>
          <w:color w:val="1E293B"/>
          <w:sz w:val="21"/>
        </w:rPr>
        <w:t>Esse custo nunca foi distribuído entre as lojas. A rede não tem um critério definido para isso.</w:t>
      </w:r>
    </w:p>
    <w:p>
      <w:pPr>
        <w:pStyle w:val="ListBullet"/>
        <w:spacing w:after="60"/>
      </w:pPr>
      <w:r>
        <w:rPr>
          <w:color w:val="1E293B"/>
          <w:sz w:val="21"/>
        </w:rPr>
        <w:t>Ignorem impostos e despesas financeiras. O resultado pedido é operacional.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Anexo C: premissas para avaliar o fechamento de uma loja</w:t>
      </w:r>
    </w:p>
    <w:p>
      <w:pPr>
        <w:spacing w:after="80"/>
      </w:pPr>
      <w:r>
        <w:rPr>
          <w:b w:val="0"/>
          <w:i w:val="0"/>
          <w:color w:val="1E293B"/>
          <w:sz w:val="21"/>
        </w:rPr>
        <w:t>Caso vocês recomendem fechar alguma unidade, use estas premissas, que valem para qualquer uma das seis:</w:t>
      </w:r>
    </w:p>
    <w:p>
      <w:pPr>
        <w:pStyle w:val="ListBullet"/>
        <w:spacing w:after="60"/>
      </w:pPr>
      <w:r>
        <w:rPr>
          <w:color w:val="1E293B"/>
          <w:sz w:val="21"/>
        </w:rPr>
        <w:t>O contrato de aluguel pode ser encerrado em 60 dias, com multa equivalente a 4 meses de aluguel e condomínio, paga uma única vez.</w:t>
      </w:r>
    </w:p>
    <w:p>
      <w:pPr>
        <w:pStyle w:val="ListBullet"/>
        <w:spacing w:after="60"/>
      </w:pPr>
      <w:r>
        <w:rPr>
          <w:color w:val="1E293B"/>
          <w:sz w:val="21"/>
        </w:rPr>
        <w:t>60% do custo de pessoal da loja é eliminado. Os 40% restantes são funcionários realocados para outras lojas, e esse custo permanece na rede.</w:t>
      </w:r>
    </w:p>
    <w:p>
      <w:pPr>
        <w:pStyle w:val="ListBullet"/>
        <w:spacing w:after="60"/>
      </w:pPr>
      <w:r>
        <w:rPr>
          <w:color w:val="1E293B"/>
          <w:sz w:val="21"/>
        </w:rPr>
        <w:t>As outras despesas da loja são 100% elimináveis.</w:t>
      </w:r>
    </w:p>
    <w:p>
      <w:pPr>
        <w:pStyle w:val="ListBullet"/>
        <w:spacing w:after="60"/>
      </w:pPr>
      <w:r>
        <w:rPr>
          <w:color w:val="1E293B"/>
          <w:sz w:val="21"/>
        </w:rPr>
        <w:t>20% da receita da loja fechada migra para a loja Centro, que absorve esse volume sem custo adicional e mantendo a própria margem bruta.</w:t>
      </w:r>
    </w:p>
    <w:p>
      <w:pPr>
        <w:pStyle w:val="ListBullet"/>
        <w:spacing w:after="60"/>
      </w:pPr>
      <w:r>
        <w:rPr>
          <w:color w:val="1E293B"/>
          <w:sz w:val="21"/>
        </w:rPr>
        <w:t>O custo corporativo do Anexo B não muda com o fechamento de nenhuma loja.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Anexo D: piloto de delivery</w:t>
      </w:r>
    </w:p>
    <w:p>
      <w:pPr>
        <w:pStyle w:val="ListBullet"/>
        <w:spacing w:after="60"/>
      </w:pPr>
      <w:r>
        <w:rPr>
          <w:color w:val="1E293B"/>
          <w:sz w:val="21"/>
        </w:rPr>
        <w:t>Roda há seis meses, atendendo Barão Geraldo e Cambuí.</w:t>
      </w:r>
    </w:p>
    <w:p>
      <w:pPr>
        <w:pStyle w:val="ListBullet"/>
        <w:spacing w:after="60"/>
      </w:pPr>
      <w:r>
        <w:rPr>
          <w:color w:val="1E293B"/>
          <w:sz w:val="21"/>
        </w:rPr>
        <w:t>Receita de R$ 90 mil por mês, com margem bruta de 24%, menor que a da loja por causa de embalagem e taxa de plataforma.</w:t>
      </w:r>
    </w:p>
    <w:p>
      <w:pPr>
        <w:pStyle w:val="ListBullet"/>
        <w:spacing w:after="60"/>
      </w:pPr>
      <w:r>
        <w:rPr>
          <w:color w:val="1E293B"/>
          <w:sz w:val="21"/>
        </w:rPr>
        <w:t>Custo fixo do canal de R$ 26 mil por mês, entre entregadores, sistema e separação de pedidos.</w:t>
      </w:r>
    </w:p>
    <w:p>
      <w:pPr>
        <w:pStyle w:val="ListBullet"/>
        <w:spacing w:after="60"/>
      </w:pPr>
      <w:r>
        <w:rPr>
          <w:color w:val="1E293B"/>
          <w:sz w:val="21"/>
        </w:rPr>
        <w:t>Ticket médio de R$ 95 no delivery, contra R$ 42 na loja física.</w:t>
      </w:r>
    </w:p>
    <w:p>
      <w:pPr>
        <w:pStyle w:val="ListBullet"/>
        <w:spacing w:after="60"/>
      </w:pPr>
      <w:r>
        <w:rPr>
          <w:color w:val="1E293B"/>
          <w:sz w:val="21"/>
        </w:rPr>
        <w:t>A rede estima que 30% da receita do delivery seria realizada na loja física de qualquer forma, mas nunca mediu isso direito.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O que vocês devem entregar</w:t>
      </w:r>
    </w:p>
    <w:p>
      <w:pPr>
        <w:spacing w:after="80"/>
      </w:pPr>
      <w:r>
        <w:rPr>
          <w:b/>
          <w:color w:val="C1272D"/>
          <w:sz w:val="22"/>
        </w:rPr>
        <w:t xml:space="preserve">1.  </w:t>
      </w:r>
      <w:r>
        <w:rPr>
          <w:color w:val="1E293B"/>
          <w:sz w:val="21"/>
        </w:rPr>
        <w:t>Qual é o EBITDA consolidado de 2025 e quais lojas criam ou destroem valor? Deixe explícito o critério que vocês usaram para tratar o custo corporativo.</w:t>
      </w:r>
    </w:p>
    <w:p>
      <w:pPr>
        <w:spacing w:after="80"/>
      </w:pPr>
      <w:r>
        <w:rPr>
          <w:b/>
          <w:color w:val="C1272D"/>
          <w:sz w:val="22"/>
        </w:rPr>
        <w:t xml:space="preserve">2.  </w:t>
      </w:r>
      <w:r>
        <w:rPr>
          <w:color w:val="1E293B"/>
          <w:sz w:val="21"/>
        </w:rPr>
        <w:t>A rede deve fechar alguma loja? Se sim, qual, e qual o impacto no EBITDA no primeiro ano e no recorrente?</w:t>
      </w:r>
    </w:p>
    <w:p>
      <w:pPr>
        <w:spacing w:after="80"/>
      </w:pPr>
      <w:r>
        <w:rPr>
          <w:b/>
          <w:color w:val="C1272D"/>
          <w:sz w:val="22"/>
        </w:rPr>
        <w:t xml:space="preserve">3.  </w:t>
      </w:r>
      <w:r>
        <w:rPr>
          <w:color w:val="1E293B"/>
          <w:sz w:val="21"/>
        </w:rPr>
        <w:t>Como chegar a R$ 1,9 milhão de EBITDA em 24 meses? Quantifiquem as duas principais alavancas.</w:t>
      </w:r>
    </w:p>
    <w:p>
      <w:pPr>
        <w:spacing w:after="80"/>
      </w:pPr>
      <w:r>
        <w:rPr>
          <w:b/>
          <w:color w:val="C1272D"/>
          <w:sz w:val="22"/>
        </w:rPr>
        <w:t xml:space="preserve">4.  </w:t>
      </w:r>
      <w:r>
        <w:rPr>
          <w:color w:val="1E293B"/>
          <w:sz w:val="21"/>
        </w:rPr>
        <w:t>O delivery deve ser escalado, mantido como está ou encerrado? A partir de qual receita mensal ele se paga?</w:t>
      </w:r>
    </w:p>
    <w:p>
      <w:pPr>
        <w:spacing w:after="80"/>
      </w:pPr>
      <w:r>
        <w:rPr>
          <w:b/>
          <w:color w:val="C1272D"/>
          <w:sz w:val="22"/>
        </w:rPr>
        <w:t xml:space="preserve">5.  </w:t>
      </w:r>
      <w:r>
        <w:rPr>
          <w:color w:val="1E293B"/>
          <w:sz w:val="21"/>
        </w:rPr>
        <w:t>Quais são os três principais riscos da recomendação e os próximos passos dos primeiros 90 dias?</w:t>
      </w:r>
    </w:p>
    <w:p>
      <w:pPr>
        <w:spacing w:before="240" w:after="80"/>
        <w:pBdr>
          <w:bottom w:val="single" w:sz="6" w:color="C1272D"/>
        </w:pBdr>
      </w:pPr>
      <w:r>
        <w:rPr>
          <w:b/>
          <w:color w:val="C1272D"/>
          <w:sz w:val="25"/>
        </w:rPr>
        <w:t>Formato e prazo</w:t>
      </w:r>
    </w:p>
    <w:p>
      <w:pPr>
        <w:pStyle w:val="ListBullet"/>
        <w:spacing w:after="60"/>
      </w:pPr>
      <w:r>
        <w:rPr>
          <w:color w:val="1E293B"/>
          <w:sz w:val="21"/>
        </w:rPr>
        <w:t>Máximo 5 slides ou 2 páginas, incluindo capa. Fora disso perde ponto no critério de entrega.</w:t>
      </w:r>
    </w:p>
    <w:p>
      <w:pPr>
        <w:pStyle w:val="ListBullet"/>
        <w:spacing w:after="60"/>
      </w:pPr>
      <w:r>
        <w:rPr>
          <w:color w:val="1E293B"/>
          <w:sz w:val="21"/>
        </w:rPr>
        <w:t>Use o template de entrega que veio junto, com as seções de Diagnóstico, Estratégia e Finanças.</w:t>
      </w:r>
    </w:p>
    <w:p>
      <w:pPr>
        <w:pStyle w:val="ListBullet"/>
        <w:spacing w:after="60"/>
      </w:pPr>
      <w:r>
        <w:rPr>
          <w:color w:val="1E293B"/>
          <w:sz w:val="21"/>
        </w:rPr>
        <w:t>A memória de cálculo precisa estar visível. Número sem conta à vista tem nota máxima de 2 no critério de acurácia.</w:t>
      </w:r>
    </w:p>
    <w:p>
      <w:pPr>
        <w:pStyle w:val="ListBullet"/>
        <w:spacing w:after="60"/>
      </w:pPr>
      <w:r>
        <w:rPr>
          <w:color w:val="1E293B"/>
          <w:sz w:val="21"/>
        </w:rPr>
        <w:t>Entrega em dupla, na pasta do Drive da semana, até sexta 25/09 às 23h59. Depois disso não entra.</w:t>
      </w:r>
    </w:p>
    <w:p>
      <w:pPr>
        <w:spacing w:after="120"/>
      </w:pPr>
      <w:r>
        <w:rPr>
          <w:b w:val="0"/>
          <w:i/>
          <w:color w:val="475569"/>
          <w:sz w:val="19"/>
        </w:rPr>
        <w:t>Tudo que vocês precisam está neste documento. Não é necessário buscar dado externo, e premissa que vocês criarem precisa estar escrita na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Clube de Consultoria Universitário  ·  dados fictícios, para fins de treinamento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792000" cy="3800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38001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8"/>
      </w:rPr>
      <w:tab/>
      <w:t>Ciclo de cases  ·  Semana 1  ·  Varejo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