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42"/>
        </w:rPr>
        <w:t>Case 01: FemVest</w:t>
      </w:r>
    </w:p>
    <w:p>
      <w:pPr>
        <w:spacing w:after="180"/>
      </w:pPr>
      <w:r>
        <w:rPr>
          <w:i/>
          <w:color w:val="475569"/>
          <w:sz w:val="19"/>
        </w:rPr>
        <w:t>Lançamento de um neobroker mobile na Alemanha  ·  entrega até sexta 25/09 às 23h59  ·  dupla  ·  máximo 5 slides ou 2 páginas</w:t>
      </w:r>
    </w:p>
    <w:p>
      <w:pPr>
        <w:spacing w:after="100"/>
      </w:pPr>
      <w:r>
        <w:rPr>
          <w:b w:val="0"/>
          <w:i/>
          <w:color w:val="475569"/>
          <w:sz w:val="18"/>
        </w:rPr>
        <w:t>Este case é uma adaptação do case público "Launch of a Mobile Neobroker", de autoria da Roland Berger, publicado no PrepLounge. O texto foi reescrito pelo CCU e os anexos de premissas são próprios, com números diferentes dos da versão original, então uma resolução encontrada na internet não vai bater com o gabarito daqui.</w:t>
      </w: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Contexto</w:t>
      </w:r>
    </w:p>
    <w:p>
      <w:pPr>
        <w:spacing w:after="100"/>
      </w:pPr>
      <w:r>
        <w:rPr>
          <w:b w:val="0"/>
          <w:i w:val="0"/>
          <w:color w:val="1E293B"/>
          <w:sz w:val="20"/>
        </w:rPr>
        <w:t>A FemVest é uma fintech alemã financiada por venture capital que quer lançar um neobroker mobile na Alemanha em 2026. A tese das fundadoras é que as mulheres estão estruturalmente sub-atendidas no investimento de varejo: têm conta em corretora com menos frequência, aportam valores menores e começam a investir mais tarde do que os homens. Ao mesmo tempo, o peso financeiro desse público cresce, puxado por renda, mudança demográfica e herança.</w:t>
      </w:r>
    </w:p>
    <w:p>
      <w:pPr>
        <w:spacing w:after="100"/>
      </w:pPr>
      <w:r>
        <w:rPr>
          <w:b w:val="0"/>
          <w:i w:val="0"/>
          <w:color w:val="1E293B"/>
          <w:sz w:val="20"/>
        </w:rPr>
        <w:t>A empresa já resolveu a parte burocrática: tem aprovação regulatória, banco custodiante e parceiro de execução contratados. O que não existe ainda é estratégia. Nenhuma destas quatro decisões foi tomada:</w:t>
      </w:r>
    </w:p>
    <w:p>
      <w:pPr>
        <w:pStyle w:val="ListBullet"/>
        <w:spacing w:after="40"/>
      </w:pPr>
      <w:r>
        <w:rPr>
          <w:color w:val="1E293B"/>
          <w:sz w:val="20"/>
        </w:rPr>
        <w:t>o segmento-alvo dentro do público feminino</w:t>
      </w:r>
    </w:p>
    <w:p>
      <w:pPr>
        <w:pStyle w:val="ListBullet"/>
        <w:spacing w:after="40"/>
      </w:pPr>
      <w:r>
        <w:rPr>
          <w:color w:val="1E293B"/>
          <w:sz w:val="20"/>
        </w:rPr>
        <w:t>o produto e o conjunto de serviços oferecidos</w:t>
      </w:r>
    </w:p>
    <w:p>
      <w:pPr>
        <w:pStyle w:val="ListBullet"/>
        <w:spacing w:after="40"/>
      </w:pPr>
      <w:r>
        <w:rPr>
          <w:color w:val="1E293B"/>
          <w:sz w:val="20"/>
        </w:rPr>
        <w:t>o modelo de receita</w:t>
      </w:r>
    </w:p>
    <w:p>
      <w:pPr>
        <w:pStyle w:val="ListBullet"/>
        <w:spacing w:after="40"/>
      </w:pPr>
      <w:r>
        <w:rPr>
          <w:color w:val="1E293B"/>
          <w:sz w:val="20"/>
        </w:rPr>
        <w:t>a estratégia de entrada no mercado</w:t>
      </w:r>
    </w:p>
    <w:p>
      <w:pPr>
        <w:spacing w:after="100"/>
      </w:pPr>
      <w:r>
        <w:rPr>
          <w:b w:val="0"/>
          <w:i w:val="0"/>
          <w:color w:val="1E293B"/>
          <w:sz w:val="20"/>
        </w:rPr>
        <w:t>O conselho quer de vocês o tamanho da oportunidade, um business case inicial e recomendações concretas de entrada. No material que a FemVest passou, a diretoria menciona haver aproximadamente 13,5 milhões de mulheres na faixa de 28 a 49 anos na Alemanha.</w:t>
      </w: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Restrição regulatória que vocês precisam considerar</w:t>
      </w:r>
    </w:p>
    <w:p>
      <w:pPr>
        <w:spacing w:after="100"/>
      </w:pPr>
      <w:r>
        <w:rPr>
          <w:b/>
          <w:i w:val="0"/>
          <w:color w:val="1E293B"/>
          <w:sz w:val="20"/>
        </w:rPr>
        <w:t>O pagamento por direcionamento de ordens, o PFOF, financiou a gratuidade dos neobrokers europeus durante anos. Ele está proibido na União Europeia pelo artigo 39a do MiFIR. A Alemanha usou a transição nacional e, desde 1º de julho de 2026, a proibição vale integralmente. Qualquer modelo de receita proposto tem que viver sem PFOF.</w:t>
      </w: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Anexo A: premissas obrigatórias para o dimensionamento</w:t>
      </w:r>
    </w:p>
    <w:p>
      <w:pPr>
        <w:spacing w:after="80"/>
      </w:pPr>
      <w:r>
        <w:rPr>
          <w:b w:val="0"/>
          <w:i w:val="0"/>
          <w:color w:val="475569"/>
          <w:sz w:val="18"/>
        </w:rPr>
        <w:t>Use exatamente estes números na conta de mercado, para o resultado ser comparável entre as duplas. A discussão de estratégia continua livre.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156"/>
        <w:gridCol w:w="5156"/>
      </w:tblGrid>
      <w:tr>
        <w:tc>
          <w:tcPr>
            <w:tcW w:type="dxa" w:w="6350"/>
            <w:shd w:val="clear" w:fill="C1272D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Premissa</w:t>
            </w:r>
          </w:p>
        </w:tc>
        <w:tc>
          <w:tcPr>
            <w:tcW w:type="dxa" w:w="3345"/>
            <w:shd w:val="clear" w:fill="C1272D"/>
          </w:tcPr>
          <w:p>
            <w:pPr>
              <w:spacing w:after="20"/>
            </w:pPr>
            <w:r>
              <w:rPr>
                <w:b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6350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População adulta na Alemanha</w:t>
            </w:r>
          </w:p>
        </w:tc>
        <w:tc>
          <w:tcPr>
            <w:tcW w:type="dxa" w:w="3345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69 milhões</w:t>
            </w:r>
          </w:p>
        </w:tc>
      </w:tr>
      <w:tr>
        <w:tc>
          <w:tcPr>
            <w:tcW w:type="dxa" w:w="6350"/>
            <w:shd w:val="clear" w:fill="F8FAFC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Participação de mulheres entre os adultos</w:t>
            </w:r>
          </w:p>
        </w:tc>
        <w:tc>
          <w:tcPr>
            <w:tcW w:type="dxa" w:w="3345"/>
            <w:shd w:val="clear" w:fill="F8FAFC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51%</w:t>
            </w:r>
          </w:p>
        </w:tc>
      </w:tr>
      <w:tr>
        <w:tc>
          <w:tcPr>
            <w:tcW w:type="dxa" w:w="6350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Mulheres de 28 a 49 anos, como % das mulheres adultas</w:t>
            </w:r>
          </w:p>
        </w:tc>
        <w:tc>
          <w:tcPr>
            <w:tcW w:type="dxa" w:w="3345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34%</w:t>
            </w:r>
          </w:p>
        </w:tc>
      </w:tr>
      <w:tr>
        <w:tc>
          <w:tcPr>
            <w:tcW w:type="dxa" w:w="6350"/>
            <w:shd w:val="clear" w:fill="F8FAFC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Dentro dessa faixa, com renda e capacidade de poupança</w:t>
            </w:r>
          </w:p>
        </w:tc>
        <w:tc>
          <w:tcPr>
            <w:tcW w:type="dxa" w:w="3345"/>
            <w:shd w:val="clear" w:fill="F8FAFC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32%</w:t>
            </w:r>
          </w:p>
        </w:tc>
      </w:tr>
      <w:tr>
        <w:tc>
          <w:tcPr>
            <w:tcW w:type="dxa" w:w="6350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Penetração-alvo no mercado endereçável no ano 5</w:t>
            </w:r>
          </w:p>
        </w:tc>
        <w:tc>
          <w:tcPr>
            <w:tcW w:type="dxa" w:w="3345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3,5%</w:t>
            </w:r>
          </w:p>
        </w:tc>
      </w:tr>
      <w:tr>
        <w:tc>
          <w:tcPr>
            <w:tcW w:type="dxa" w:w="6350"/>
            <w:shd w:val="clear" w:fill="F8FAFC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Patrimônio médio por cliente no ano 5</w:t>
            </w:r>
          </w:p>
        </w:tc>
        <w:tc>
          <w:tcPr>
            <w:tcW w:type="dxa" w:w="3345"/>
            <w:shd w:val="clear" w:fill="F8FAFC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5.800 euros</w:t>
            </w:r>
          </w:p>
        </w:tc>
      </w:tr>
      <w:tr>
        <w:tc>
          <w:tcPr>
            <w:tcW w:type="dxa" w:w="6350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Yield de receita sobre patrimônio</w:t>
            </w:r>
          </w:p>
        </w:tc>
        <w:tc>
          <w:tcPr>
            <w:tcW w:type="dxa" w:w="3345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0,70% ao ano</w:t>
            </w:r>
          </w:p>
        </w:tc>
      </w:tr>
      <w:tr>
        <w:tc>
          <w:tcPr>
            <w:tcW w:type="dxa" w:w="6350"/>
            <w:shd w:val="clear" w:fill="F8FAFC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Custo de aquisição por cliente custeado</w:t>
            </w:r>
          </w:p>
        </w:tc>
        <w:tc>
          <w:tcPr>
            <w:tcW w:type="dxa" w:w="3345"/>
            <w:shd w:val="clear" w:fill="F8FAFC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110 euros</w:t>
            </w:r>
          </w:p>
        </w:tc>
      </w:tr>
      <w:tr>
        <w:tc>
          <w:tcPr>
            <w:tcW w:type="dxa" w:w="6350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Custo fixo anual da operação no ano 5</w:t>
            </w:r>
          </w:p>
        </w:tc>
        <w:tc>
          <w:tcPr>
            <w:tcW w:type="dxa" w:w="3345"/>
          </w:tcPr>
          <w:p>
            <w:pPr>
              <w:spacing w:after="20"/>
            </w:pPr>
            <w:r>
              <w:rPr>
                <w:color w:val="1E293B"/>
                <w:sz w:val="19"/>
              </w:rPr>
              <w:t>8,4 milhões de euros</w:t>
            </w:r>
          </w:p>
        </w:tc>
      </w:tr>
    </w:tbl>
    <w:p>
      <w:pPr>
        <w:spacing w:after="20"/>
      </w:pP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Anexo B: o que já se sabe do mercado</w:t>
      </w:r>
    </w:p>
    <w:p>
      <w:pPr>
        <w:pStyle w:val="ListBullet"/>
        <w:spacing w:after="40"/>
      </w:pPr>
      <w:r>
        <w:rPr>
          <w:color w:val="1E293B"/>
          <w:sz w:val="20"/>
        </w:rPr>
        <w:t>Os dois maiores neobrokers do país têm perfis muito diferentes de patrimônio por cliente, na casa de 15 mil e de 60 mil euros.</w:t>
      </w:r>
    </w:p>
    <w:p>
      <w:pPr>
        <w:pStyle w:val="ListBullet"/>
        <w:spacing w:after="40"/>
      </w:pPr>
      <w:r>
        <w:rPr>
          <w:color w:val="1E293B"/>
          <w:sz w:val="20"/>
        </w:rPr>
        <w:t>O setor de brokerage alemão gera cerca de 2 bilhões de euros de receita por ano com cerca de 7 milhões de investidores autodirigidos.</w:t>
      </w:r>
    </w:p>
    <w:p>
      <w:pPr>
        <w:pStyle w:val="ListBullet"/>
        <w:spacing w:after="40"/>
      </w:pPr>
      <w:r>
        <w:rPr>
          <w:color w:val="1E293B"/>
          <w:sz w:val="20"/>
        </w:rPr>
        <w:t>Os grandes remuneram caixa parado entre 2,6% e 3,0% ao ano.</w:t>
      </w:r>
    </w:p>
    <w:p>
      <w:pPr>
        <w:pStyle w:val="ListBullet"/>
        <w:spacing w:after="40"/>
      </w:pPr>
      <w:r>
        <w:rPr>
          <w:color w:val="1E293B"/>
          <w:sz w:val="20"/>
        </w:rPr>
        <w:t>A reforma da previdência prevista para 2027 cria um veículo de investimento em ações, fundos e ETFs com custo baixo e resgate a partir dos 65 anos.</w:t>
      </w:r>
    </w:p>
    <w:p>
      <w:pPr>
        <w:pStyle w:val="ListBullet"/>
        <w:spacing w:after="40"/>
      </w:pPr>
      <w:r>
        <w:rPr>
          <w:color w:val="1E293B"/>
          <w:sz w:val="20"/>
        </w:rPr>
        <w:t>O relatório setorial da semana traz os indicadores, as alavancas e as fontes. Comecem por ele.</w:t>
      </w: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O que vocês devem entregar</w:t>
      </w:r>
    </w:p>
    <w:p>
      <w:pPr>
        <w:spacing w:after="80"/>
      </w:pPr>
      <w:r>
        <w:rPr>
          <w:b/>
          <w:color w:val="C1272D"/>
          <w:sz w:val="22"/>
        </w:rPr>
        <w:t xml:space="preserve">1.  </w:t>
      </w:r>
      <w:r>
        <w:rPr>
          <w:color w:val="1E293B"/>
          <w:sz w:val="21"/>
        </w:rPr>
        <w:t>Dimensione o mercado endereçável e o número de clientes no ano 5, usando as premissas do Anexo A. Qual a receita anual no ano 5 e qual o ARPU?</w:t>
      </w:r>
    </w:p>
    <w:p>
      <w:pPr>
        <w:spacing w:after="80"/>
      </w:pPr>
      <w:r>
        <w:rPr>
          <w:b/>
          <w:color w:val="C1272D"/>
          <w:sz w:val="22"/>
        </w:rPr>
        <w:t xml:space="preserve">2.  </w:t>
      </w:r>
      <w:r>
        <w:rPr>
          <w:color w:val="1E293B"/>
          <w:sz w:val="21"/>
        </w:rPr>
        <w:t>A operação se paga no ano 5? Qual o ponto de equilíbrio em número de clientes e em ARPU, e qual patrimônio por cliente esse equilíbrio exige?</w:t>
      </w:r>
    </w:p>
    <w:p>
      <w:pPr>
        <w:spacing w:after="80"/>
      </w:pPr>
      <w:r>
        <w:rPr>
          <w:b/>
          <w:color w:val="C1272D"/>
          <w:sz w:val="22"/>
        </w:rPr>
        <w:t xml:space="preserve">3.  </w:t>
      </w:r>
      <w:r>
        <w:rPr>
          <w:color w:val="1E293B"/>
          <w:sz w:val="21"/>
        </w:rPr>
        <w:t>Qual segmento e qual proposta de valor vocês recomendam dentro do público feminino? Justifiquem com dado, não com intuição.</w:t>
      </w:r>
    </w:p>
    <w:p>
      <w:pPr>
        <w:spacing w:after="80"/>
      </w:pPr>
      <w:r>
        <w:rPr>
          <w:b/>
          <w:color w:val="C1272D"/>
          <w:sz w:val="22"/>
        </w:rPr>
        <w:t xml:space="preserve">4.  </w:t>
      </w:r>
      <w:r>
        <w:rPr>
          <w:color w:val="1E293B"/>
          <w:sz w:val="21"/>
        </w:rPr>
        <w:t>Qual modelo de receita vocês propõem, sabendo que o PFOF está proibido? Digam de onde vem cada euro e qual linha é a mais frágil.</w:t>
      </w:r>
    </w:p>
    <w:p>
      <w:pPr>
        <w:spacing w:after="80"/>
      </w:pPr>
      <w:r>
        <w:rPr>
          <w:b/>
          <w:color w:val="C1272D"/>
          <w:sz w:val="22"/>
        </w:rPr>
        <w:t xml:space="preserve">5.  </w:t>
      </w:r>
      <w:r>
        <w:rPr>
          <w:color w:val="1E293B"/>
          <w:sz w:val="21"/>
        </w:rPr>
        <w:t>Qual o plano de entrada nos primeiros 12 meses, os três principais riscos com mitigação e os próximos passos?</w:t>
      </w:r>
    </w:p>
    <w:p>
      <w:pPr>
        <w:spacing w:before="220" w:after="80"/>
        <w:pBdr>
          <w:bottom w:val="single" w:sz="6" w:color="C1272D"/>
        </w:pBdr>
      </w:pPr>
      <w:r>
        <w:rPr>
          <w:b/>
          <w:color w:val="C1272D"/>
          <w:sz w:val="24"/>
        </w:rPr>
        <w:t>Formato e prazo</w:t>
      </w:r>
    </w:p>
    <w:p>
      <w:pPr>
        <w:pStyle w:val="ListBullet"/>
        <w:spacing w:after="40"/>
      </w:pPr>
      <w:r>
        <w:rPr>
          <w:color w:val="1E293B"/>
          <w:sz w:val="20"/>
        </w:rPr>
        <w:t>Máximo 5 slides ou 2 páginas, incluindo capa. Fora disso perde ponto no critério de entrega.</w:t>
      </w:r>
    </w:p>
    <w:p>
      <w:pPr>
        <w:pStyle w:val="ListBullet"/>
        <w:spacing w:after="40"/>
      </w:pPr>
      <w:r>
        <w:rPr>
          <w:color w:val="1E293B"/>
          <w:sz w:val="20"/>
        </w:rPr>
        <w:t>Use o template de entrega que veio junto, com Diagnóstico, Estratégia e Finanças.</w:t>
      </w:r>
    </w:p>
    <w:p>
      <w:pPr>
        <w:pStyle w:val="ListBullet"/>
        <w:spacing w:after="40"/>
      </w:pPr>
      <w:r>
        <w:rPr>
          <w:color w:val="1E293B"/>
          <w:sz w:val="20"/>
        </w:rPr>
        <w:t>A memória de cálculo precisa estar visível. Número sem conta à vista tem nota máxima de 2 no critério de acurácia.</w:t>
      </w:r>
    </w:p>
    <w:p>
      <w:pPr>
        <w:pStyle w:val="ListBullet"/>
        <w:spacing w:after="40"/>
      </w:pPr>
      <w:r>
        <w:rPr>
          <w:color w:val="1E293B"/>
          <w:sz w:val="20"/>
        </w:rPr>
        <w:t>Entrega em dupla, na pasta do Drive da semana, até sexta 25/09 às 23h59. Depois disso não entra.</w:t>
      </w:r>
    </w:p>
    <w:p>
      <w:pPr>
        <w:spacing w:after="100"/>
      </w:pPr>
      <w:r>
        <w:rPr>
          <w:b w:val="0"/>
          <w:i/>
          <w:color w:val="475569"/>
          <w:sz w:val="19"/>
        </w:rPr>
        <w:t>Tudo que vocês precisam está neste documento e no relatório setorial. Premissa que vocês criarem além do Anexo A precisa estar escrita na entrega.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37" w:right="964" w:bottom="73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6"/>
      </w:rPr>
      <w:t>Adaptado pelo CCU a partir de material público do PrepLounge  ·  uso interno de treinamento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978" w:val="right"/>
      </w:tabs>
    </w:pPr>
    <w:r>
      <w:drawing>
        <wp:inline xmlns:a="http://schemas.openxmlformats.org/drawingml/2006/main" xmlns:pic="http://schemas.openxmlformats.org/drawingml/2006/picture">
          <wp:extent cx="792000" cy="3800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92000" cy="38001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8"/>
      </w:rPr>
      <w:tab/>
      <w:t>Ciclo de cases  ·  Semana 1  ·  Neobrokers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/>
      <w:color w:val="1E293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