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42"/>
        </w:rPr>
        <w:t>Template de entrega</w:t>
      </w:r>
    </w:p>
    <w:p>
      <w:pPr>
        <w:spacing w:after="180"/>
      </w:pPr>
      <w:r>
        <w:rPr>
          <w:i/>
          <w:color w:val="475569"/>
          <w:sz w:val="19"/>
        </w:rPr>
        <w:t>Case 01, FemVest  ·  máximo 5 slides ou 2 páginas, incluindo capa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02"/>
            <w:shd w:val="clear" w:fill="C1272D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Dupla</w:t>
            </w:r>
          </w:p>
        </w:tc>
        <w:tc>
          <w:tcPr>
            <w:tcW w:type="dxa" w:w="4535"/>
            <w:shd w:val="clear" w:fill="C1272D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Data da entrega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>
              <w:rPr>
                <w:color w:val="1E293B"/>
                <w:sz w:val="20"/>
              </w:rPr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color w:val="1E293B"/>
                <w:sz w:val="20"/>
              </w:rPr>
            </w:r>
          </w:p>
        </w:tc>
      </w:tr>
    </w:tbl>
    <w:p>
      <w:pPr>
        <w:spacing w:after="20"/>
      </w:pPr>
    </w:p>
    <w:p>
      <w:pPr>
        <w:spacing w:before="220" w:after="80"/>
        <w:pBdr>
          <w:bottom w:val="single" w:sz="6" w:color="C1272D"/>
        </w:pBdr>
      </w:pPr>
      <w:r>
        <w:rPr>
          <w:b/>
          <w:color w:val="C1272D"/>
          <w:sz w:val="24"/>
        </w:rPr>
        <w:t>Recomendação em uma frase</w:t>
      </w:r>
    </w:p>
    <w:p>
      <w:pPr>
        <w:spacing w:after="80"/>
      </w:pPr>
      <w:r>
        <w:rPr>
          <w:b w:val="0"/>
          <w:i/>
          <w:color w:val="475569"/>
          <w:sz w:val="18"/>
        </w:rPr>
        <w:t>A recomendação com o número que a sustenta. Se não couber em uma frase, ainda não está pronta.</w:t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before="220" w:after="80"/>
        <w:pBdr>
          <w:bottom w:val="single" w:sz="6" w:color="C1272D"/>
        </w:pBdr>
      </w:pPr>
      <w:r>
        <w:rPr>
          <w:b/>
          <w:color w:val="C1272D"/>
          <w:sz w:val="24"/>
        </w:rPr>
        <w:t>1. Diagnóstico e tamanho da oportunidade</w:t>
      </w:r>
    </w:p>
    <w:p>
      <w:pPr>
        <w:spacing w:after="80"/>
      </w:pPr>
      <w:r>
        <w:rPr>
          <w:b w:val="0"/>
          <w:i/>
          <w:color w:val="475569"/>
          <w:sz w:val="18"/>
        </w:rPr>
        <w:t>A cadeia do dimensionamento, de população até clientes no ano 5, com a receita e o ARPU. Deixe cada filtro visível.</w:t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before="220" w:after="80"/>
        <w:pBdr>
          <w:bottom w:val="single" w:sz="6" w:color="C1272D"/>
        </w:pBdr>
      </w:pPr>
      <w:r>
        <w:rPr>
          <w:b/>
          <w:color w:val="C1272D"/>
          <w:sz w:val="24"/>
        </w:rPr>
        <w:t>2. Estratégia: segmento, proposta e modelo de receita</w:t>
      </w:r>
    </w:p>
    <w:p>
      <w:pPr>
        <w:spacing w:after="80"/>
      </w:pPr>
      <w:r>
        <w:rPr>
          <w:b w:val="0"/>
          <w:i/>
          <w:color w:val="475569"/>
          <w:sz w:val="18"/>
        </w:rPr>
        <w:t>Qual segmento, qual proposta de valor e de onde vem cada euro de receita sem PFOF. Diga o que descartou e por quê.</w:t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before="220" w:after="80"/>
        <w:pBdr>
          <w:bottom w:val="single" w:sz="6" w:color="C1272D"/>
        </w:pBdr>
      </w:pPr>
      <w:r>
        <w:rPr>
          <w:b/>
          <w:color w:val="C1272D"/>
          <w:sz w:val="24"/>
        </w:rPr>
        <w:t>3. Finanças: a conta fecha?</w:t>
      </w:r>
    </w:p>
    <w:p>
      <w:pPr>
        <w:spacing w:after="80"/>
      </w:pPr>
      <w:r>
        <w:rPr>
          <w:b w:val="0"/>
          <w:i/>
          <w:color w:val="475569"/>
          <w:sz w:val="18"/>
        </w:rPr>
        <w:t>Resultado no ano 5, ponto de equilíbrio em clientes e em ARPU, e o patrimônio por cliente que isso exige. Memória de cálculo visível.</w:t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before="220" w:after="80"/>
        <w:pBdr>
          <w:bottom w:val="single" w:sz="6" w:color="C1272D"/>
        </w:pBdr>
      </w:pPr>
      <w:r>
        <w:rPr>
          <w:b/>
          <w:color w:val="C1272D"/>
          <w:sz w:val="24"/>
        </w:rPr>
        <w:t>4. Entrada, riscos e próximos passos</w:t>
      </w:r>
    </w:p>
    <w:p>
      <w:pPr>
        <w:spacing w:after="80"/>
      </w:pPr>
      <w:r>
        <w:rPr>
          <w:b w:val="0"/>
          <w:i/>
          <w:color w:val="475569"/>
          <w:sz w:val="18"/>
        </w:rPr>
        <w:t>Plano dos primeiros 12 meses, três riscos com mitigação e os próximos passos. Risco genérico como concorrência ou crise não pontua.</w:t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before="220" w:after="80"/>
        <w:pBdr>
          <w:bottom w:val="single" w:sz="6" w:color="C1272D"/>
        </w:pBdr>
      </w:pPr>
      <w:r>
        <w:rPr>
          <w:b/>
          <w:color w:val="C1272D"/>
          <w:sz w:val="24"/>
        </w:rPr>
        <w:t>Antes de enviar, confira</w:t>
      </w:r>
    </w:p>
    <w:p>
      <w:pPr>
        <w:pStyle w:val="ListBullet"/>
        <w:spacing w:after="40"/>
      </w:pPr>
      <w:r>
        <w:rPr>
          <w:color w:val="1E293B"/>
          <w:sz w:val="20"/>
        </w:rPr>
        <w:t>A recomendação está na primeira página ou no primeiro slide, com número.</w:t>
      </w:r>
    </w:p>
    <w:p>
      <w:pPr>
        <w:pStyle w:val="ListBullet"/>
        <w:spacing w:after="40"/>
      </w:pPr>
      <w:r>
        <w:rPr>
          <w:color w:val="1E293B"/>
          <w:sz w:val="20"/>
        </w:rPr>
        <w:t>A cadeia do dimensionamento está visível, filtro por filtro.</w:t>
      </w:r>
    </w:p>
    <w:p>
      <w:pPr>
        <w:pStyle w:val="ListBullet"/>
        <w:spacing w:after="40"/>
      </w:pPr>
      <w:r>
        <w:rPr>
          <w:color w:val="1E293B"/>
          <w:sz w:val="20"/>
        </w:rPr>
        <w:t>O modelo de receita não depende de PFOF.</w:t>
      </w:r>
    </w:p>
    <w:p>
      <w:pPr>
        <w:pStyle w:val="ListBullet"/>
        <w:spacing w:after="40"/>
      </w:pPr>
      <w:r>
        <w:rPr>
          <w:color w:val="1E293B"/>
          <w:sz w:val="20"/>
        </w:rPr>
        <w:t>Está dentro de 5 slides ou 2 páginas.</w:t>
      </w:r>
    </w:p>
    <w:p>
      <w:pPr>
        <w:pStyle w:val="ListBullet"/>
        <w:spacing w:after="40"/>
      </w:pPr>
      <w:r>
        <w:rPr>
          <w:color w:val="1E293B"/>
          <w:sz w:val="20"/>
        </w:rPr>
        <w:t>Vocês conferiram se todos os números do enunciado fecham entre si.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6"/>
      </w:rPr>
      <w:t>Clube de Consultoria Universitário  ·  Diretoria de Gestão de Pessoas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978" w:val="right"/>
      </w:tabs>
    </w:pPr>
    <w:r>
      <w:drawing>
        <wp:inline xmlns:a="http://schemas.openxmlformats.org/drawingml/2006/main" xmlns:pic="http://schemas.openxmlformats.org/drawingml/2006/picture">
          <wp:extent cx="792000" cy="3800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2000" cy="38001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8"/>
      </w:rPr>
      <w:tab/>
      <w:t>Ciclo de cases  ·  Template de entrega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