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44"/>
        </w:rPr>
        <w:t>Relatório setorial: Varejo</w:t>
      </w:r>
    </w:p>
    <w:p>
      <w:pPr>
        <w:spacing w:after="160"/>
      </w:pPr>
      <w:r>
        <w:rPr>
          <w:i/>
          <w:color w:val="475569"/>
          <w:sz w:val="20"/>
        </w:rPr>
        <w:t>Semana [n]  ·  ciclo de [dd/mm] a [dd/mm]  ·  entrega até domingo, 23h59</w:t>
      </w:r>
    </w:p>
    <w:p>
      <w:pPr>
        <w:spacing w:after="100"/>
      </w:pPr>
      <w:r>
        <w:rPr>
          <w:b w:val="0"/>
          <w:i w:val="0"/>
          <w:color w:val="1E293B"/>
          <w:sz w:val="21"/>
        </w:rPr>
        <w:t>Este documento é o toolkit da semana. Ele existe para ninguém perder tempo descobrindo por onde começar. Leia antes de abrir o enunciado do case: em dez minutos você sabe como o setor ganha dinheiro, quais indicadores decidem e onde as pessoas erram.</w:t>
      </w:r>
    </w:p>
    <w:p>
      <w:pPr>
        <w:spacing w:after="100"/>
      </w:pPr>
      <w:r>
        <w:rPr>
          <w:b w:val="0"/>
          <w:i/>
          <w:color w:val="475569"/>
          <w:sz w:val="18"/>
        </w:rPr>
        <w:t>Onde estiver [preencher: fonte], o número precisa ser buscado e citado antes de publicar. Definição e fórmula já estão prontas e valem para qualquer semana de varejo.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1. Como o setor ganha dinheiro</w:t>
      </w:r>
    </w:p>
    <w:p>
      <w:pPr>
        <w:spacing w:after="100"/>
      </w:pPr>
      <w:r>
        <w:rPr>
          <w:b w:val="0"/>
          <w:i w:val="0"/>
          <w:color w:val="1E293B"/>
          <w:sz w:val="20"/>
        </w:rPr>
        <w:t>Varejo é um negócio de margem pequena multiplicada por giro alto. A receita nasce de três fatores que se multiplicam: quanta gente passa, quanta gente compra e quanto cada uma gasta. Quase toda alavanca de varejo mexe em um desses três, ou no custo de servir.</w:t>
      </w:r>
    </w:p>
    <w:p>
      <w:pPr>
        <w:pStyle w:val="ListBullet"/>
        <w:spacing w:after="40"/>
      </w:pPr>
      <w:r>
        <w:rPr>
          <w:color w:val="1E293B"/>
          <w:sz w:val="20"/>
        </w:rPr>
        <w:t>Receita = fluxo × taxa de conversão × ticket médio. Guarde essa identidade, ela organiza praticamente qualquer diagnóstico de varejo.</w:t>
      </w:r>
    </w:p>
    <w:p>
      <w:pPr>
        <w:pStyle w:val="ListBullet"/>
        <w:spacing w:after="40"/>
      </w:pPr>
      <w:r>
        <w:rPr>
          <w:color w:val="1E293B"/>
          <w:sz w:val="20"/>
        </w:rPr>
        <w:t>O lucro aparece depois de três camadas: margem bruta (preço menos custo da mercadoria), despesas de operar a loja (pessoal, ocupação, energia) e despesas corporativas.</w:t>
      </w:r>
    </w:p>
    <w:p>
      <w:pPr>
        <w:pStyle w:val="ListBullet"/>
        <w:spacing w:after="40"/>
      </w:pPr>
      <w:r>
        <w:rPr>
          <w:color w:val="1E293B"/>
          <w:sz w:val="20"/>
        </w:rPr>
        <w:t>Capital de giro é parte do modelo, não detalhe contábil. Estoque parado é caixa preso, e prazo de fornecedor é financiamento gratuito.</w:t>
      </w:r>
    </w:p>
    <w:p>
      <w:pPr>
        <w:spacing w:after="40"/>
      </w:pPr>
      <w:r>
        <w:rPr>
          <w:b w:val="0"/>
          <w:i w:val="0"/>
          <w:color w:val="1E293B"/>
          <w:sz w:val="20"/>
        </w:rPr>
        <w:t>Cadeia simplificada: fornecedor, centro de distribuição, loja ou canal digital, cliente. Cada elo adiciona custo e prazo. Quando o case fala de eficiência, quase sempre está falando de tirar custo ou prazo de um desses elos.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2. Os indicadores que decidem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175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Como se calcula</w:t>
            </w:r>
          </w:p>
        </w:tc>
        <w:tc>
          <w:tcPr>
            <w:tcW w:type="dxa" w:w="4195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O que revela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Vendas mesmas lojas (SSS)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de lojas com mais de 12 meses, contra igual período anterior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Se o crescimento vem da operação ou apenas de abrir loja nova. É o indicador mais importante do setor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Vendas por m²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÷ área de vendas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Produtividade do espaço. Compara lojas de tamanhos diferentes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Ticket médio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÷ número de transações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Quanto o cliente gasta por compra. Sobe por preço ou por mix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Itens por atendimento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Itens vendidos ÷ transações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Eficácia de venda cruzada e de layout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Taxa de conversão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Transações ÷ fluxo de visitantes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Quanto do movimento vira venda. Aponta atendimento e ruptura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Margem bruta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(Receita − custo da mercadoria) ÷ receita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Poder de compra e mix. Ainda não é lucro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Giro de estoque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da mercadoria vendida ÷ estoque médio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Quantas vezes o estoque roda no ano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Cobertura de estoque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Estoque ÷ venda média diária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Quantos dias de venda estão parados em estoque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Ruptura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% de itens sem disponibilidade na gôndola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Venda perdida invisível. Derruba conversão sem aparecer na receita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de ocupação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Aluguel e condomínio ÷ receita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Peso do ponto físico. É o que mais mata loja de shopping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SG&amp;A sobre receita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Despesas operacionais ÷ receita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Eficiência da estrutura. Alavancagem operacional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Margem EBITDA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EBITDA ÷ receita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Resultado da operação antes de estrutura de capital e impostos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CAC e LTV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de aquisição por cliente e valor no tempo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Sustentabilidade do canal digital. LTV precisa superar CAC com folga</w:t>
            </w:r>
          </w:p>
        </w:tc>
      </w:tr>
      <w:tr>
        <w:tc>
          <w:tcPr>
            <w:tcW w:type="dxa" w:w="238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NPS</w:t>
            </w:r>
          </w:p>
        </w:tc>
        <w:tc>
          <w:tcPr>
            <w:tcW w:type="dxa" w:w="317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Promotores menos detratores</w:t>
            </w:r>
          </w:p>
        </w:tc>
        <w:tc>
          <w:tcPr>
            <w:tcW w:type="dxa" w:w="4195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Recompra futura. Indicador antecedente, não de resultado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3. Alavancas de valor: onde efetivamente se mexe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Preço e mix: </w:t>
      </w:r>
      <w:r>
        <w:rPr>
          <w:color w:val="1E293B"/>
          <w:sz w:val="20"/>
        </w:rPr>
        <w:t>aumentar preço, mudar mix para itens de margem melhor, reduzir remarcação e promoção.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Volume e conversão: </w:t>
      </w:r>
      <w:r>
        <w:rPr>
          <w:color w:val="1E293B"/>
          <w:sz w:val="20"/>
        </w:rPr>
        <w:t>atrair mais gente ao ponto, converter melhor quem já entra, aumentar itens por compra.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Custo da mercadoria: </w:t>
      </w:r>
      <w:r>
        <w:rPr>
          <w:color w:val="1E293B"/>
          <w:sz w:val="20"/>
        </w:rPr>
        <w:t>renegociar compra, ganhar escala, reduzir perda e quebra, melhorar logística.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Custo de operar: </w:t>
      </w:r>
      <w:r>
        <w:rPr>
          <w:color w:val="1E293B"/>
          <w:sz w:val="20"/>
        </w:rPr>
        <w:t>produtividade por funcionário, escala de horário, renegociação de aluguel, fechamento ou realocação de loja improdutiva.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Capital de giro: </w:t>
      </w:r>
      <w:r>
        <w:rPr>
          <w:color w:val="1E293B"/>
          <w:sz w:val="20"/>
        </w:rPr>
        <w:t>reduzir cobertura de estoque, alongar prazo de fornecedor, atacar itens de baixo giro.</w:t>
      </w:r>
    </w:p>
    <w:p>
      <w:pPr>
        <w:pStyle w:val="ListBullet"/>
        <w:spacing w:after="40"/>
      </w:pPr>
      <w:r>
        <w:rPr>
          <w:b/>
          <w:color w:val="1E293B"/>
          <w:sz w:val="20"/>
        </w:rPr>
        <w:t xml:space="preserve">Expansão e novos canais: </w:t>
      </w:r>
      <w:r>
        <w:rPr>
          <w:color w:val="1E293B"/>
          <w:sz w:val="20"/>
        </w:rPr>
        <w:t>canal digital, marca própria, serviços adicionais, novos formatos de loja.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4. Perguntas que sempre cabem em um case de varejo</w:t>
      </w:r>
    </w:p>
    <w:p>
      <w:pPr>
        <w:pStyle w:val="ListBullet"/>
        <w:spacing w:after="40"/>
      </w:pPr>
      <w:r>
        <w:rPr>
          <w:color w:val="1E293B"/>
          <w:sz w:val="20"/>
        </w:rPr>
        <w:t>O crescimento vem de vendas mesmas lojas ou de abertura de loja? São diagnósticos opostos.</w:t>
      </w:r>
    </w:p>
    <w:p>
      <w:pPr>
        <w:pStyle w:val="ListBullet"/>
        <w:spacing w:after="40"/>
      </w:pPr>
      <w:r>
        <w:rPr>
          <w:color w:val="1E293B"/>
          <w:sz w:val="20"/>
        </w:rPr>
        <w:t>Qual loja destrói valor? Existe unidade cuja margem de contribuição não cobre o custo fixo dela?</w:t>
      </w:r>
    </w:p>
    <w:p>
      <w:pPr>
        <w:pStyle w:val="ListBullet"/>
        <w:spacing w:after="40"/>
      </w:pPr>
      <w:r>
        <w:rPr>
          <w:color w:val="1E293B"/>
          <w:sz w:val="20"/>
        </w:rPr>
        <w:t>Se fechar essa loja, qual custo permanece? Aluguel com multa, pessoal realocado, rateio corporativo.</w:t>
      </w:r>
    </w:p>
    <w:p>
      <w:pPr>
        <w:pStyle w:val="ListBullet"/>
        <w:spacing w:after="40"/>
      </w:pPr>
      <w:r>
        <w:rPr>
          <w:color w:val="1E293B"/>
          <w:sz w:val="20"/>
        </w:rPr>
        <w:t>Qual o ponto de equilíbrio de uma loja nova, em receita e em meses?</w:t>
      </w:r>
    </w:p>
    <w:p>
      <w:pPr>
        <w:pStyle w:val="ListBullet"/>
        <w:spacing w:after="40"/>
      </w:pPr>
      <w:r>
        <w:rPr>
          <w:color w:val="1E293B"/>
          <w:sz w:val="20"/>
        </w:rPr>
        <w:t>O ticket subiu por preço ou por mix? E a conversão acompanhou ou caiu?</w:t>
      </w:r>
    </w:p>
    <w:p>
      <w:pPr>
        <w:pStyle w:val="ListBullet"/>
        <w:spacing w:after="40"/>
      </w:pPr>
      <w:r>
        <w:rPr>
          <w:color w:val="1E293B"/>
          <w:sz w:val="20"/>
        </w:rPr>
        <w:t>O estoque está financiando a operação ou travando o caixa?</w:t>
      </w:r>
    </w:p>
    <w:p>
      <w:pPr>
        <w:pStyle w:val="ListBullet"/>
        <w:spacing w:after="40"/>
      </w:pPr>
      <w:r>
        <w:rPr>
          <w:color w:val="1E293B"/>
          <w:sz w:val="20"/>
        </w:rPr>
        <w:t>O canal digital é receita incremental ou está canibalizando a loja física?</w:t>
      </w:r>
    </w:p>
    <w:p>
      <w:pPr>
        <w:pStyle w:val="ListBullet"/>
        <w:spacing w:after="40"/>
      </w:pPr>
      <w:r>
        <w:rPr>
          <w:color w:val="1E293B"/>
          <w:sz w:val="20"/>
        </w:rPr>
        <w:t>Qual a sensibilidade do resultado a uma variação de 1 ponto na margem bruta ou na conversão?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5. Armadilhas que derrubam a análise</w:t>
      </w:r>
    </w:p>
    <w:p>
      <w:pPr>
        <w:pStyle w:val="ListBullet"/>
        <w:spacing w:after="40"/>
      </w:pPr>
      <w:r>
        <w:rPr>
          <w:color w:val="1E293B"/>
          <w:sz w:val="20"/>
        </w:rPr>
        <w:t>Tratar crescimento de receita total como crescimento de operação. Sem separar SSS de expansão, o diagnóstico fica errado desde o começo.</w:t>
      </w:r>
    </w:p>
    <w:p>
      <w:pPr>
        <w:pStyle w:val="ListBullet"/>
        <w:spacing w:after="40"/>
      </w:pPr>
      <w:r>
        <w:rPr>
          <w:color w:val="1E293B"/>
          <w:sz w:val="20"/>
        </w:rPr>
        <w:t>Olhar margem bruta e esquecer ocupação. Muita loja tem margem boa e resultado negativo por causa do aluguel.</w:t>
      </w:r>
    </w:p>
    <w:p>
      <w:pPr>
        <w:pStyle w:val="ListBullet"/>
        <w:spacing w:after="40"/>
      </w:pPr>
      <w:r>
        <w:rPr>
          <w:color w:val="1E293B"/>
          <w:sz w:val="20"/>
        </w:rPr>
        <w:t>Recomendar fechamento de loja com base em resultado contábil, ignorando margem de contribuição e os custos que continuam existindo depois do fechamento.</w:t>
      </w:r>
    </w:p>
    <w:p>
      <w:pPr>
        <w:pStyle w:val="ListBullet"/>
        <w:spacing w:after="40"/>
      </w:pPr>
      <w:r>
        <w:rPr>
          <w:color w:val="1E293B"/>
          <w:sz w:val="20"/>
        </w:rPr>
        <w:t>Usar ticket médio isolado. Ticket subindo com conversão caindo pode ser perda de cliente, não ganho de valor.</w:t>
      </w:r>
    </w:p>
    <w:p>
      <w:pPr>
        <w:pStyle w:val="ListBullet"/>
        <w:spacing w:after="40"/>
      </w:pPr>
      <w:r>
        <w:rPr>
          <w:color w:val="1E293B"/>
          <w:sz w:val="20"/>
        </w:rPr>
        <w:t>Ignorar sazonalidade. Comparar mês contra mês em varejo sem ajuste leva a conclusão falsa.</w:t>
      </w:r>
    </w:p>
    <w:p>
      <w:pPr>
        <w:pStyle w:val="ListBullet"/>
        <w:spacing w:after="40"/>
      </w:pPr>
      <w:r>
        <w:rPr>
          <w:color w:val="1E293B"/>
          <w:sz w:val="20"/>
        </w:rPr>
        <w:t>Aplicar taxa de ocupação ou utilização como desconto sobre a demanda já projetada. Se o enunciado já dá o volume, descontar de novo é contar duas vezes.</w:t>
      </w:r>
    </w:p>
    <w:p>
      <w:pPr>
        <w:pStyle w:val="ListBullet"/>
        <w:spacing w:after="40"/>
      </w:pPr>
      <w:r>
        <w:rPr>
          <w:color w:val="1E293B"/>
          <w:sz w:val="20"/>
        </w:rPr>
        <w:t>Somar sinergia de capacidade compartilhada quando o enunciado pede avaliação separada por unidade. Sinergia se discute na parte qualitativa.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6. Fórmulas para ter na ponta do lápis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Conta</w:t>
            </w:r>
          </w:p>
        </w:tc>
        <w:tc>
          <w:tcPr>
            <w:tcW w:type="dxa" w:w="6123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</w:t>
            </w:r>
          </w:p>
        </w:tc>
        <w:tc>
          <w:tcPr>
            <w:tcW w:type="dxa" w:w="6123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fluxo × conversão × ticket médio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anual a partir de volume semanal</w:t>
            </w:r>
          </w:p>
        </w:tc>
        <w:tc>
          <w:tcPr>
            <w:tcW w:type="dxa" w:w="6123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transações por semana × semanas de operação × preço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Margem de contribuição da loja</w:t>
            </w:r>
          </w:p>
        </w:tc>
        <w:tc>
          <w:tcPr>
            <w:tcW w:type="dxa" w:w="6123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receita − custos variáveis − custos diretos da loja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Ponto de equilíbrio da loja</w:t>
            </w:r>
          </w:p>
        </w:tc>
        <w:tc>
          <w:tcPr>
            <w:tcW w:type="dxa" w:w="6123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fixo ÷ margem de contribuição unitária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Giro de estoque</w:t>
            </w:r>
          </w:p>
        </w:tc>
        <w:tc>
          <w:tcPr>
            <w:tcW w:type="dxa" w:w="6123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custo da mercadoria vendida ÷ estoque médio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Cobertura em dias</w:t>
            </w:r>
          </w:p>
        </w:tc>
        <w:tc>
          <w:tcPr>
            <w:tcW w:type="dxa" w:w="6123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estoque ÷ (custo da mercadoria vendida ÷ 365)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Capital de giro</w:t>
            </w:r>
          </w:p>
        </w:tc>
        <w:tc>
          <w:tcPr>
            <w:tcW w:type="dxa" w:w="6123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estoque + contas a receber − contas a pagar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Impacto no EBITDA de fechar uma unidade</w:t>
            </w:r>
          </w:p>
        </w:tc>
        <w:tc>
          <w:tcPr>
            <w:tcW w:type="dxa" w:w="6123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− margem de contribuição perdida + custos evitáveis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7. Tendências da semana</w:t>
      </w:r>
    </w:p>
    <w:p>
      <w:pPr>
        <w:spacing w:after="80"/>
      </w:pPr>
      <w:r>
        <w:rPr>
          <w:b w:val="0"/>
          <w:i/>
          <w:color w:val="475569"/>
          <w:sz w:val="18"/>
        </w:rPr>
        <w:t>Três frases, cada uma com fonte. Trocar toda semana e não repetir o que já foi dito no ciclo anterior.</w:t>
      </w:r>
    </w:p>
    <w:p>
      <w:pPr>
        <w:pStyle w:val="ListBullet"/>
        <w:spacing w:after="40"/>
      </w:pPr>
      <w:r>
        <w:rPr>
          <w:color w:val="1E293B"/>
          <w:sz w:val="20"/>
        </w:rPr>
        <w:t>[preencher: tendência 1, com número e fonte]</w:t>
      </w:r>
    </w:p>
    <w:p>
      <w:pPr>
        <w:pStyle w:val="ListBullet"/>
        <w:spacing w:after="40"/>
      </w:pPr>
      <w:r>
        <w:rPr>
          <w:color w:val="1E293B"/>
          <w:sz w:val="20"/>
        </w:rPr>
        <w:t>[preencher: tendência 2, com número e fonte]</w:t>
      </w:r>
    </w:p>
    <w:p>
      <w:pPr>
        <w:pStyle w:val="ListBullet"/>
        <w:spacing w:after="40"/>
      </w:pPr>
      <w:r>
        <w:rPr>
          <w:color w:val="1E293B"/>
          <w:sz w:val="20"/>
        </w:rPr>
        <w:t>[preencher: tendência 3, com número e fonte]</w:t>
      </w:r>
    </w:p>
    <w:p>
      <w:pPr>
        <w:spacing w:after="100"/>
      </w:pPr>
      <w:r>
        <w:rPr>
          <w:b w:val="0"/>
          <w:i w:val="0"/>
          <w:color w:val="475569"/>
          <w:sz w:val="18"/>
        </w:rPr>
        <w:t>Onde buscar: Pesquisa Mensal do Comércio do IBGE, ABRAS, Sociedade Brasileira de Varejo e Consumo, relatórios de bancos e, principalmente, os documentos de relações com investidores das companhias abertas do setor, que trazem SSS, vendas por m² e margem abertos.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4"/>
        </w:rPr>
        <w:t>8. Antes de publicar, na segunda às 9h</w:t>
      </w:r>
    </w:p>
    <w:p>
      <w:pPr>
        <w:pStyle w:val="ListBullet"/>
        <w:spacing w:after="40"/>
      </w:pPr>
      <w:r>
        <w:rPr>
          <w:color w:val="1E293B"/>
          <w:sz w:val="20"/>
        </w:rPr>
        <w:t>Tendências preenchidas com fonte e sem repetir a semana anterior.</w:t>
      </w:r>
    </w:p>
    <w:p>
      <w:pPr>
        <w:pStyle w:val="ListBullet"/>
        <w:spacing w:after="40"/>
      </w:pPr>
      <w:r>
        <w:rPr>
          <w:color w:val="1E293B"/>
          <w:sz w:val="20"/>
        </w:rPr>
        <w:t>Enunciado do case conferido: os dados são suficientes para resolver sem buscar nada fora.</w:t>
      </w:r>
    </w:p>
    <w:p>
      <w:pPr>
        <w:pStyle w:val="ListBullet"/>
        <w:spacing w:after="40"/>
      </w:pPr>
      <w:r>
        <w:rPr>
          <w:color w:val="1E293B"/>
          <w:sz w:val="20"/>
        </w:rPr>
        <w:t>A conta central tem resposta única e dá para checar em menos de um minuto.</w:t>
      </w:r>
    </w:p>
    <w:p>
      <w:pPr>
        <w:pStyle w:val="ListBullet"/>
        <w:spacing w:after="40"/>
      </w:pPr>
      <w:r>
        <w:rPr>
          <w:color w:val="1E293B"/>
          <w:sz w:val="20"/>
        </w:rPr>
        <w:t>Existe uma premissa em aberto de propósito, e o gabarito diz como ela será tratada.</w:t>
      </w:r>
    </w:p>
    <w:p>
      <w:pPr>
        <w:pStyle w:val="ListBullet"/>
        <w:spacing w:after="40"/>
      </w:pPr>
      <w:r>
        <w:rPr>
          <w:color w:val="1E293B"/>
          <w:sz w:val="20"/>
        </w:rPr>
        <w:t>Template de entrega anexado junto, para o esforço não ir para formatação.</w:t>
      </w:r>
    </w:p>
    <w:p>
      <w:pPr>
        <w:pStyle w:val="ListBullet"/>
        <w:spacing w:after="40"/>
      </w:pPr>
      <w:r>
        <w:rPr>
          <w:color w:val="1E293B"/>
          <w:sz w:val="20"/>
        </w:rPr>
        <w:t>Gabarito escrito e guardado, para liberar somente depois do fechamento de domingo.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Clube de Consultoria Universitário  ·  Diretoria de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78" w:val="right"/>
      </w:tabs>
    </w:pPr>
    <w:r>
      <w:drawing>
        <wp:inline xmlns:a="http://schemas.openxmlformats.org/drawingml/2006/main" xmlns:pic="http://schemas.openxmlformats.org/drawingml/2006/picture">
          <wp:extent cx="792000" cy="3800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38001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8"/>
      </w:rPr>
      <w:tab/>
      <w:t>Imersão setorial  ·  Ciclo de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