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1272D"/>
          <w:sz w:val="38"/>
        </w:rPr>
        <w:t>Gamificação, cobrança e recompensas</w:t>
      </w:r>
    </w:p>
    <w:p>
      <w:pPr>
        <w:spacing w:after="120"/>
      </w:pPr>
      <w:r>
        <w:rPr>
          <w:i/>
          <w:color w:val="475569"/>
          <w:sz w:val="18"/>
        </w:rPr>
        <w:t>Ciclo de cases  ·  como o sistema funciona por 8 semanas</w:t>
      </w:r>
    </w:p>
    <w:p>
      <w:pPr>
        <w:spacing w:after="60"/>
      </w:pPr>
      <w:r>
        <w:rPr>
          <w:b w:val="0"/>
          <w:i w:val="0"/>
          <w:color w:val="1E293B"/>
          <w:sz w:val="19"/>
        </w:rPr>
        <w:t>Este documento existe porque pontuação sem regra escrita vira discussão, e cobrança sem régua vira desgaste. Aqui está o que dá ponto, como se cobra quem não entrega e o que a dupla ganha no fim. Uma página para você operar e duas para consultar quando alguém questionar.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1. Os três comportamentos que o sistema precisa produzir</w:t>
      </w:r>
    </w:p>
    <w:p>
      <w:pPr>
        <w:spacing w:after="60"/>
      </w:pPr>
      <w:r>
        <w:rPr>
          <w:b w:val="0"/>
          <w:i w:val="0"/>
          <w:color w:val="1E293B"/>
          <w:sz w:val="19"/>
        </w:rPr>
        <w:t>Todo sistema de pontos premia algo. Se você premiar a coisa errada, consegue exatamente a coisa errada. Estes são os três, em ordem de importância: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Entregar: </w:t>
      </w:r>
      <w:r>
        <w:rPr>
          <w:color w:val="1E293B"/>
          <w:sz w:val="19"/>
        </w:rPr>
        <w:t>é o hábito que sustenta o ciclo. Uma entrega mediana toda semana vale mais para o clube do que uma entrega excelente a cada dois meses.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Entregar bem: </w:t>
      </w:r>
      <w:r>
        <w:rPr>
          <w:color w:val="1E293B"/>
          <w:sz w:val="19"/>
        </w:rPr>
        <w:t>é o que prepara para o PS. Por isso a qualidade pesa mais que a participação, mas só depois de a entrega existir.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Ajudar quem entrega: </w:t>
      </w:r>
      <w:r>
        <w:rPr>
          <w:color w:val="1E293B"/>
          <w:sz w:val="19"/>
        </w:rPr>
        <w:t>é o que transforma um exercício individual em cultura de clube, e é o que mais se perde quando ninguém pontua.</w:t>
      </w:r>
    </w:p>
    <w:p>
      <w:pPr>
        <w:spacing w:before="60" w:after="100"/>
        <w:ind w:left="113"/>
      </w:pPr>
      <w:r>
        <w:rPr>
          <w:b/>
          <w:i/>
          <w:color w:val="8E0C22"/>
          <w:sz w:val="17"/>
        </w:rPr>
        <w:t>Consequência prática: quem entrega sempre e razoavelmente bem termina o ciclo à frente de quem brilhou duas vezes e desapareceu. Isso é intencional.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2. A moeda: sistema de pontos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742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 que pontua</w:t>
            </w:r>
          </w:p>
        </w:tc>
        <w:tc>
          <w:tcPr>
            <w:tcW w:type="dxa" w:w="1077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Pontos</w:t>
            </w:r>
          </w:p>
        </w:tc>
        <w:tc>
          <w:tcPr>
            <w:tcW w:type="dxa" w:w="4932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Por que existe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Entregou no prazo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10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color w:val="1E293B"/>
                <w:sz w:val="17"/>
              </w:rPr>
              <w:t>O comportamento base. É o que se quer repetido</w:t>
            </w:r>
          </w:p>
        </w:tc>
      </w:tr>
      <w:tr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Entrega atrasada, combinada antes do prazo</w:t>
            </w:r>
          </w:p>
        </w:tc>
        <w:tc>
          <w:tcPr>
            <w:tcW w:type="dxa" w:w="1077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4</w:t>
            </w:r>
          </w:p>
        </w:tc>
        <w:tc>
          <w:tcPr>
            <w:tcW w:type="dxa" w:w="493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Melhor entregar atrasado do que não entregar. Só vale se negociado antes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Nota da entrega igual ou acima de 6,0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color w:val="1E293B"/>
                <w:sz w:val="17"/>
              </w:rPr>
              <w:t>+8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Reconhece o esforço que chegou ao mínimo aceitável</w:t>
            </w:r>
          </w:p>
        </w:tc>
      </w:tr>
      <w:tr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Nota igual ou acima de 7,5</w:t>
            </w:r>
          </w:p>
        </w:tc>
        <w:tc>
          <w:tcPr>
            <w:tcW w:type="dxa" w:w="1077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+15</w:t>
            </w:r>
          </w:p>
        </w:tc>
        <w:tc>
          <w:tcPr>
            <w:tcW w:type="dxa" w:w="493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Substitui o anterior, não soma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Nota igual ou acima de 8,5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color w:val="1E293B"/>
                <w:sz w:val="17"/>
              </w:rPr>
              <w:t>+25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Substitui os anteriores. Qualidade tem que pagar bem</w:t>
            </w:r>
          </w:p>
        </w:tc>
      </w:tr>
      <w:tr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Bônus analítico da semana</w:t>
            </w:r>
          </w:p>
        </w:tc>
        <w:tc>
          <w:tcPr>
            <w:tcW w:type="dxa" w:w="1077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+5</w:t>
            </w:r>
          </w:p>
        </w:tc>
        <w:tc>
          <w:tcPr>
            <w:tcW w:type="dxa" w:w="493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Achou a inconsistência plantada ou tratou certo a premissa-chave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Respondeu o check-in de meio de ciclo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color w:val="1E293B"/>
                <w:sz w:val="17"/>
              </w:rPr>
              <w:t>+3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color w:val="1E293B"/>
                <w:sz w:val="17"/>
              </w:rPr>
              <w:t>Barato de dar e evita a dupla travar em silêncio</w:t>
            </w:r>
          </w:p>
        </w:tc>
      </w:tr>
      <w:tr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Feedback específico na entrega de outra dupla</w:t>
            </w:r>
          </w:p>
        </w:tc>
        <w:tc>
          <w:tcPr>
            <w:tcW w:type="dxa" w:w="1077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+5</w:t>
            </w:r>
          </w:p>
        </w:tc>
        <w:tc>
          <w:tcPr>
            <w:tcW w:type="dxa" w:w="493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Cria leitura crítica. Máximo um por semana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Dupla Destaque da semana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color w:val="1E293B"/>
                <w:sz w:val="17"/>
              </w:rPr>
              <w:t>+12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Reconhecimento tem que valer ponto, não só elogio</w:t>
            </w:r>
          </w:p>
        </w:tc>
      </w:tr>
      <w:tr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Três semanas seguidas entregando</w:t>
            </w:r>
          </w:p>
        </w:tc>
        <w:tc>
          <w:tcPr>
            <w:tcW w:type="dxa" w:w="1077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+10</w:t>
            </w:r>
          </w:p>
        </w:tc>
        <w:tc>
          <w:tcPr>
            <w:tcW w:type="dxa" w:w="493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Prêmio de constância, pago a cada trinca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i/>
          <w:color w:val="475569"/>
          <w:sz w:val="18"/>
        </w:rPr>
        <w:t>Máximo típico por semana: 60 pontos. Com o bônus de constância, 70 na semana em que ele cai.</w:t>
      </w:r>
    </w:p>
    <w:p>
      <w:pPr>
        <w:spacing w:before="60" w:after="100"/>
        <w:ind w:left="113"/>
      </w:pPr>
      <w:r>
        <w:rPr>
          <w:b/>
          <w:i/>
          <w:color w:val="8E0C22"/>
          <w:sz w:val="17"/>
        </w:rPr>
        <w:t>Não existe ponto negativo. Quem não entrega simplesmente não pontua, e o assunto vai para a régua de cobrança, não para o placar. Punir com ponto negativo afasta justamente quem já está afastado.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3. A régua de cobrança, em quatro degraus</w:t>
      </w:r>
    </w:p>
    <w:p>
      <w:pPr>
        <w:spacing w:after="60"/>
      </w:pPr>
      <w:r>
        <w:rPr>
          <w:b/>
          <w:i w:val="0"/>
          <w:color w:val="1E293B"/>
          <w:sz w:val="19"/>
        </w:rPr>
        <w:t>A regra que sustenta tudo: nome no grupo só aparece para reconhecer. Cobrança é sempre individual e privada.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85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Degrau</w:t>
            </w:r>
          </w:p>
        </w:tc>
        <w:tc>
          <w:tcPr>
            <w:tcW w:type="dxa" w:w="221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Quando</w:t>
            </w:r>
          </w:p>
        </w:tc>
        <w:tc>
          <w:tcPr>
            <w:tcW w:type="dxa" w:w="464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 que fazer</w:t>
            </w:r>
          </w:p>
        </w:tc>
        <w:tc>
          <w:tcPr>
            <w:tcW w:type="dxa" w:w="204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Tom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1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Quarta e sábado da semana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color w:val="1E293B"/>
                <w:sz w:val="17"/>
              </w:rPr>
              <w:t>Lembrete coletivo no grupo, sem citar ninguém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Leve, informativo</w:t>
            </w:r>
          </w:p>
        </w:tc>
      </w:tr>
      <w:t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2</w:t>
            </w:r>
          </w:p>
        </w:tc>
        <w:tc>
          <w:tcPr>
            <w:tcW w:type="dxa" w:w="221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No dia seguinte ao fechamento</w:t>
            </w:r>
          </w:p>
        </w:tc>
        <w:tc>
          <w:tcPr>
            <w:tcW w:type="dxa" w:w="464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Mensagem individual curta perguntando o que travou. Não cobra, pergunta</w:t>
            </w:r>
          </w:p>
        </w:tc>
        <w:tc>
          <w:tcPr>
            <w:tcW w:type="dxa" w:w="204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Curioso, não acusatório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3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Na segunda falta seguida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Entra no 1on1 com a pergunta de escopo e de tempo disponível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Diagnóstico, não bronca</w:t>
            </w:r>
          </w:p>
        </w:tc>
      </w:tr>
      <w:t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4</w:t>
            </w:r>
          </w:p>
        </w:tc>
        <w:tc>
          <w:tcPr>
            <w:tcW w:type="dxa" w:w="221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Na terceira falta seguida</w:t>
            </w:r>
          </w:p>
        </w:tc>
        <w:tc>
          <w:tcPr>
            <w:tcW w:type="dxa" w:w="464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Conversa de expectativa: o que o clube espera e o que a pessoa consegue dar hoje</w:t>
            </w:r>
          </w:p>
        </w:tc>
        <w:tc>
          <w:tcPr>
            <w:tcW w:type="dxa" w:w="204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Franco e respeitoso</w:t>
            </w:r>
          </w:p>
        </w:tc>
      </w:tr>
    </w:tbl>
    <w:p>
      <w:pPr>
        <w:spacing w:after="0"/>
      </w:pPr>
    </w:p>
    <w:p>
      <w:pPr>
        <w:spacing w:before="60" w:after="100"/>
        <w:ind w:left="113"/>
      </w:pPr>
      <w:r>
        <w:rPr>
          <w:b/>
          <w:i/>
          <w:color w:val="8E0C22"/>
          <w:sz w:val="17"/>
        </w:rPr>
        <w:t>A hipótese a testar no degrau 2 é sempre escopo grande demais ou semana atípica, nunca falta de interesse. Na maioria dos casos é escopo, e aí o problema é seu, não da dupla.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4. Recompensas: acesso vale mais que prêmio</w:t>
      </w:r>
    </w:p>
    <w:p>
      <w:pPr>
        <w:spacing w:after="60"/>
      </w:pPr>
      <w:r>
        <w:rPr>
          <w:b w:val="0"/>
          <w:i w:val="0"/>
          <w:color w:val="1E293B"/>
          <w:sz w:val="19"/>
        </w:rPr>
        <w:t>Em clube de consultoria a moeda valiosa não é dinheiro, é acesso e visibilidade. Isso é bom, porque custa quase nada e vale muito para quem está montando currículo.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2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Quando</w:t>
            </w:r>
          </w:p>
        </w:tc>
        <w:tc>
          <w:tcPr>
            <w:tcW w:type="dxa" w:w="635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Recompensa</w:t>
            </w:r>
          </w:p>
        </w:tc>
        <w:tc>
          <w:tcPr>
            <w:tcW w:type="dxa" w:w="147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Custo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Toda semana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Dupla Destaque anunciada na segunda à noite, junto com o gabarito, com uma frase dizendo o que ela fez de diferente. A entrega dela é citada no gabarito como referência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zero</w:t>
            </w:r>
          </w:p>
        </w:tc>
      </w:tr>
      <w:tr>
        <w:tc>
          <w:tcPr>
            <w:tcW w:type="dxa" w:w="192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Semana 4, meio do ciclo</w:t>
            </w:r>
          </w:p>
        </w:tc>
        <w:tc>
          <w:tcPr>
            <w:tcW w:type="dxa" w:w="6350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 dupla líder escolhe o tipo de case da semana 5. Mais uma conversa de 30 minutos com um alumni consultor, agendada pela diretoria</w:t>
            </w:r>
          </w:p>
        </w:tc>
        <w:tc>
          <w:tcPr>
            <w:tcW w:type="dxa" w:w="1474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quase zero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Semana 8, fim do ciclo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 dupla campeã apresenta o case final do Trainee para a banca da consultoria parceira. Prioridade na escolha do próximo projeto externo. Carta de recomendação do diretor. Destaque no LinkedIn do clube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zero, mas alto valor</w:t>
            </w:r>
          </w:p>
        </w:tc>
      </w:tr>
      <w:tr>
        <w:tc>
          <w:tcPr>
            <w:tcW w:type="dxa" w:w="192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Individual, a qualquer momento</w:t>
            </w:r>
          </w:p>
        </w:tc>
        <w:tc>
          <w:tcPr>
            <w:tcW w:type="dxa" w:w="6350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Quem acumula constância entra primeiro na fila de indicação quando chega vaga de estágio pela rede do clube</w:t>
            </w:r>
          </w:p>
        </w:tc>
        <w:tc>
          <w:tcPr>
            <w:tcW w:type="dxa" w:w="1474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zero</w:t>
            </w:r>
          </w:p>
        </w:tc>
      </w:tr>
    </w:tbl>
    <w:p>
      <w:pPr>
        <w:spacing w:after="0"/>
      </w:pPr>
    </w:p>
    <w:p>
      <w:pPr>
        <w:spacing w:before="60" w:after="100"/>
        <w:ind w:left="113"/>
      </w:pPr>
      <w:r>
        <w:rPr>
          <w:b/>
          <w:i/>
          <w:color w:val="8E0C22"/>
          <w:sz w:val="17"/>
        </w:rPr>
        <w:t>A recompensa da semana 8 amarra o ciclo ao Tópico 3 da sabatina, que é aproximar o membro das consultorias. Gamificação que termina em brinde não muda comportamento. Gamificação que termina em banca real, muda.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5. Reconhecimento semanal: como anunciar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Quando: </w:t>
      </w:r>
      <w:r>
        <w:rPr>
          <w:color w:val="1E293B"/>
          <w:sz w:val="19"/>
        </w:rPr>
        <w:t>na segunda à noite, junto com o gabarito e as notas. O ciclo seguinte já abriu de manhã, então são dois posts no mesmo dia.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O que dizer: </w:t>
      </w:r>
      <w:r>
        <w:rPr>
          <w:color w:val="1E293B"/>
          <w:sz w:val="19"/>
        </w:rPr>
        <w:t>nome da dupla, a nota e uma frase específica do que ela fez de diferente. Reconhecimento genérico vira formalidade e para de funcionar em duas semanas.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O que sempre incluir: </w:t>
      </w:r>
      <w:r>
        <w:rPr>
          <w:color w:val="1E293B"/>
          <w:sz w:val="19"/>
        </w:rPr>
        <w:t>citar a entrega dela como exemplo no gabarito. Vale mais que o anúncio, porque o resto da turma lê e aprende.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O que nunca fazer: </w:t>
      </w:r>
      <w:r>
        <w:rPr>
          <w:color w:val="1E293B"/>
          <w:sz w:val="19"/>
        </w:rPr>
        <w:t>comparar publicamente com quem foi mal. O placar mostra quem está na frente, não quem está atrás.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6. Anti-gaming: onde o sistema pode ser burlado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Feedback em entrega alheia só pontua se apontar slide, número ou trecho específico. “Boa entrega, parabéns” não conta.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Pontos de qualidade só existem se a entrega vier no template. Entrega fora do formato recebe os 10 de prazo e para ali.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O bônus de constância é da pessoa, não da dupla, então quem troca de parceria não perde a sequência.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Sugestão, não regra: evitar a mesma dupla nas 8 semanas. Com poucos membros, deixe livre nas primeiras duas semanas e sorteie depois.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O placar é publicado sempre completo, com todos os que entregaram. Placar parcial gera desconfiança e mata a legitimidade do sistema.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7. Como saber se a gamificação está funcionando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49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21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5046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 não bater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Taxa de entrega semanal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70% ou mais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color w:val="1E293B"/>
                <w:sz w:val="17"/>
              </w:rPr>
              <w:t>O problema costuma ser escopo, não motivação. Encurte o case antes de cobrar mais</w:t>
            </w:r>
          </w:p>
        </w:tc>
      </w:tr>
      <w:tr>
        <w:tc>
          <w:tcPr>
            <w:tcW w:type="dxa" w:w="249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Duplas ativas</w:t>
            </w:r>
          </w:p>
        </w:tc>
        <w:tc>
          <w:tcPr>
            <w:tcW w:type="dxa" w:w="221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3 ou mais</w:t>
            </w:r>
          </w:p>
        </w:tc>
        <w:tc>
          <w:tcPr>
            <w:tcW w:type="dxa" w:w="5046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 menos que isso o placar não cria comparação e a gamificação não opera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Entregas com bônus analítico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 ou mais por semana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color w:val="1E293B"/>
                <w:sz w:val="17"/>
              </w:rPr>
              <w:t>O item plantado ficou sutil demais. Torne mais visível no case seguinte</w:t>
            </w:r>
          </w:p>
        </w:tc>
      </w:tr>
      <w:tr>
        <w:tc>
          <w:tcPr>
            <w:tcW w:type="dxa" w:w="249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Dispersão de pontos</w:t>
            </w:r>
          </w:p>
        </w:tc>
        <w:tc>
          <w:tcPr>
            <w:tcW w:type="dxa" w:w="221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líder com menos de 2x o último</w:t>
            </w:r>
          </w:p>
        </w:tc>
        <w:tc>
          <w:tcPr>
            <w:tcW w:type="dxa" w:w="5046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Se uma dupla domina, o resto desiste. Considere handicap ou premiação por faixa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Feedback entre duplas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 ou mais por semana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Ninguém está lendo a entrega do outro. Peça diretamente a duas pessoas</w:t>
            </w:r>
          </w:p>
        </w:tc>
      </w:tr>
    </w:tbl>
    <w:p>
      <w:pPr>
        <w:spacing w:after="0"/>
      </w:pPr>
    </w:p>
    <w:p>
      <w:pPr>
        <w:spacing w:before="60" w:after="100"/>
        <w:ind w:left="113"/>
      </w:pPr>
      <w:r>
        <w:rPr>
          <w:b/>
          <w:i/>
          <w:color w:val="8E0C22"/>
          <w:sz w:val="17"/>
        </w:rPr>
        <w:t>Critério de encerramento honesto: se a taxa de entrega cair três semanas seguidas, o ciclo não precisa de mais pontos nem de mais cobrança. Precisa de case menor.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8. O ciclo de 8 semanas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13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8617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 que acontece de diferente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1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Abertura do sistema. Explique a pontuação no mesmo post do primeiro case</w:t>
            </w:r>
          </w:p>
        </w:tc>
      </w:tr>
      <w:tr>
        <w:tc>
          <w:tcPr>
            <w:tcW w:type="dxa" w:w="113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2</w:t>
            </w:r>
          </w:p>
        </w:tc>
        <w:tc>
          <w:tcPr>
            <w:tcW w:type="dxa" w:w="8617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Primeiro placar publicado, com todos os que entregaram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3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Primeiro bônus de constância pago. Comente isso publicamente</w:t>
            </w:r>
          </w:p>
        </w:tc>
      </w:tr>
      <w:tr>
        <w:tc>
          <w:tcPr>
            <w:tcW w:type="dxa" w:w="113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4</w:t>
            </w:r>
          </w:p>
        </w:tc>
        <w:tc>
          <w:tcPr>
            <w:tcW w:type="dxa" w:w="8617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Recompensa de meio de ciclo: a dupla líder escolhe o tipo de case da semana 5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5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Case escolhido pela dupla líder. Dá senso de propriedade ao grupo</w:t>
            </w:r>
          </w:p>
        </w:tc>
      </w:tr>
      <w:tr>
        <w:tc>
          <w:tcPr>
            <w:tcW w:type="dxa" w:w="113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6</w:t>
            </w:r>
          </w:p>
        </w:tc>
        <w:tc>
          <w:tcPr>
            <w:tcW w:type="dxa" w:w="8617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Segundo bônus de constância. Aviso de que o ciclo está fechando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7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Penúltima entrega. Placar com a projeção de quem pode virar</w:t>
            </w:r>
          </w:p>
        </w:tc>
      </w:tr>
      <w:tr>
        <w:tc>
          <w:tcPr>
            <w:tcW w:type="dxa" w:w="113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8</w:t>
            </w:r>
          </w:p>
        </w:tc>
        <w:tc>
          <w:tcPr>
            <w:tcW w:type="dxa" w:w="8617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Última entrega, premiação e retrospectiva curta do que o ciclo mostrou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5"/>
      </w:rPr>
      <w:t>Clube de Consultoria Universitário  ·  Gestão de Pessoas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91" w:val="right"/>
      </w:tabs>
    </w:pPr>
    <w:r>
      <w:drawing>
        <wp:inline xmlns:a="http://schemas.openxmlformats.org/drawingml/2006/main" xmlns:pic="http://schemas.openxmlformats.org/drawingml/2006/picture">
          <wp:extent cx="648000" cy="3109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310919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7"/>
      </w:rPr>
      <w:tab/>
      <w:t>Ciclo de cases  ·  Gamificação e cobrança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