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40"/>
        </w:rPr>
        <w:t>Case 01: FemVest</w:t>
      </w:r>
    </w:p>
    <w:p>
      <w:pPr>
        <w:spacing w:after="140"/>
      </w:pPr>
      <w:r>
        <w:rPr>
          <w:i/>
          <w:color w:val="475569"/>
          <w:sz w:val="18"/>
        </w:rPr>
        <w:t>Lançamento de um neobroker mobile na Alemanha  ·  entrega em dupla  ·  até domingo 27/09 às 23h59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Contexto</w:t>
      </w:r>
    </w:p>
    <w:p>
      <w:pPr>
        <w:spacing w:after="80"/>
      </w:pPr>
      <w:r>
        <w:rPr>
          <w:b w:val="0"/>
          <w:i w:val="0"/>
          <w:color w:val="1E293B"/>
          <w:sz w:val="20"/>
        </w:rPr>
        <w:t>A FemVest é uma fintech alemã financiada por venture capital que quer lançar um neobroker mobile na Alemanha em 2026. A tese das fundadoras é que as mulheres estão estruturalmente sub-atendidas no investimento de varejo: têm conta em corretora com menos frequência, aportam valores menores e começam a investir mais tarde do que os homens. Ao mesmo tempo, o peso financeiro desse público cresce, puxado por renda, mudança demográfica e herança.</w:t>
      </w:r>
    </w:p>
    <w:p>
      <w:pPr>
        <w:spacing w:after="80"/>
      </w:pPr>
      <w:r>
        <w:rPr>
          <w:b w:val="0"/>
          <w:i w:val="0"/>
          <w:color w:val="1E293B"/>
          <w:sz w:val="20"/>
        </w:rPr>
        <w:t>A empresa já tem aprovação regulatória, banco custodiante e parceiro de execução. O que não existe ainda é estratégia: o segmento-alvo, o produto, o modelo de receita e a entrada no mercado seguem todos em aberto. O conselho quer o tamanho da oportunidade, um business case e recomendações concretas.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A: premissas do dimensionamento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9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Premissa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População da Alemanha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83,5 milhões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Participação de mulheres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50,5%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Mulheres de 25 a 50 anos e digitalmente ativas, como % das mulheres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36%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Dessas, sem conta em nenhum neobroker, o gap de mercado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72%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Penetração realista da FemVest no ano 1, sobre o gap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1,2%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Receita média anual por usuária ativa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21 euros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Composição dessa receita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taxa de ordem, repasse de gestoras de ETF e assinatura premium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B: dados do business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9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Custo fixo anual, entre plataforma, equipe e compliance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5,2 milhões de euros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Custo de aquisição por usuária adquirida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42 euros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Custo variável por usuária ao ano, entre onboarding, suporte e transação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7 euros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Usuárias ativas projetadas no ano 1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145.000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Usuárias ativas projetadas no ano 2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240.000</w:t>
            </w:r>
          </w:p>
        </w:tc>
      </w:tr>
      <w:tr>
        <w:tc>
          <w:tcPr>
            <w:tcW w:type="dxa" w:w="6690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Usuárias ativas projetadas no ano 3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9"/>
              </w:rPr>
              <w:t>410.000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/>
          <w:color w:val="475569"/>
          <w:sz w:val="18"/>
        </w:rPr>
        <w:t>A forma de aplicar o custo de aquisição faz parte do que vocês precisam decidir e justificar. Registrem a premissa no campo do template.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C: pesquisa de uso de produto encomendada pela FemVest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79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uso-produ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79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i/>
          <w:color w:val="475569"/>
          <w:sz w:val="17"/>
        </w:rPr>
        <w:t>A diferença entre as barras é o que justifica a priorização, e ela não vai no mesmo sentido em todas as linhas.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Anexo D: preferências declaradas e padrão do setor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Preferências do público: </w:t>
      </w:r>
      <w:r>
        <w:rPr>
          <w:color w:val="1E293B"/>
          <w:sz w:val="19"/>
        </w:rPr>
        <w:t>autosserviço no dia a dia, com apoio consultivo disponível quando necessário. Sinais de segurança e confiança pesam muito. Taxa baixa é o principal critério de escolha de corretora.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O que o setor já trata como obrigatório: </w:t>
      </w:r>
      <w:r>
        <w:rPr>
          <w:color w:val="1E293B"/>
          <w:sz w:val="19"/>
        </w:rPr>
        <w:t>aplicativo em primeiro lugar, liderança de custo, elementos de jogo e velocidade de execução.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Necessidades específicas do público-alvo: </w:t>
      </w:r>
      <w:r>
        <w:rPr>
          <w:color w:val="1E293B"/>
          <w:sz w:val="19"/>
        </w:rPr>
        <w:t>segurança, transparência, ESG, comunidade e educação financeira sem jargão.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Restrição regulatória: </w:t>
      </w:r>
      <w:r>
        <w:rPr>
          <w:color w:val="1E293B"/>
          <w:sz w:val="19"/>
        </w:rPr>
        <w:t>o pagamento por direcionamento de ordens, o PFOF, está proibido na União Europeia pelo artigo 39a do MiFIR, e desde 1º de julho de 2026 a proibição vale integralmente na Alemanha.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As quatro perguntas</w:t>
      </w:r>
    </w:p>
    <w:p>
      <w:pPr>
        <w:spacing w:after="80"/>
      </w:pPr>
      <w:r>
        <w:rPr>
          <w:b/>
          <w:color w:val="C1272D"/>
          <w:sz w:val="22"/>
        </w:rPr>
        <w:t xml:space="preserve">1.  </w:t>
      </w:r>
      <w:r>
        <w:rPr>
          <w:color w:val="1E293B"/>
          <w:sz w:val="20"/>
        </w:rPr>
        <w:t>Qual o tamanho do mercado endereçável da FemVest na Alemanha e qual a receita potencial no ano 1? Use as premissas do Anexo A e deixe a cadeia visível, do universo até a usuária.</w:t>
      </w:r>
    </w:p>
    <w:p>
      <w:pPr>
        <w:spacing w:after="80"/>
      </w:pPr>
      <w:r>
        <w:rPr>
          <w:b/>
          <w:color w:val="C1272D"/>
          <w:sz w:val="22"/>
        </w:rPr>
        <w:t xml:space="preserve">2.  </w:t>
      </w:r>
      <w:r>
        <w:rPr>
          <w:color w:val="1E293B"/>
          <w:sz w:val="20"/>
        </w:rPr>
        <w:t>A FemVest chega ao ponto de equilíbrio? Monte o business case simplificado dos três anos com o Anexo B. Digam a margem de contribuição por usuária, o ponto de equilíbrio, o resultado de cada ano e o que isso significa para uma empresa financiada por venture capital.</w:t>
      </w:r>
    </w:p>
    <w:p>
      <w:pPr>
        <w:spacing w:after="80"/>
      </w:pPr>
      <w:r>
        <w:rPr>
          <w:b/>
          <w:color w:val="C1272D"/>
          <w:sz w:val="22"/>
        </w:rPr>
        <w:t xml:space="preserve">3.  </w:t>
      </w:r>
      <w:r>
        <w:rPr>
          <w:color w:val="1E293B"/>
          <w:sz w:val="20"/>
        </w:rPr>
        <w:t>Qual estratégia de produto vocês recomendam e como priorizam? Justifiquem com os dados do Anexo C e organizem em essencial, desejável e opcional.</w:t>
      </w:r>
    </w:p>
    <w:p>
      <w:pPr>
        <w:spacing w:after="80"/>
      </w:pPr>
      <w:r>
        <w:rPr>
          <w:b/>
          <w:color w:val="C1272D"/>
          <w:sz w:val="22"/>
        </w:rPr>
        <w:t xml:space="preserve">4.  </w:t>
      </w:r>
      <w:r>
        <w:rPr>
          <w:color w:val="1E293B"/>
          <w:sz w:val="20"/>
        </w:rPr>
        <w:t>Como a FemVest deve estruturar a entrada no mercado? Cubram as cinco dimensões: segmento, proposta de valor, canal, modelo de precificação e métricas de sucesso.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Como entregar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 entrega é feita no template do ciclo, o mesmo de toda semana. As perguntas 1 e 2 vão nas seções de diagnóstico e da conta que decide, a 3 na seção de recomendação em detalhe e a 4 na seção de espaço livre. Campo em branco conta como não respondido.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Comecem pelo guia de tipo de case, que explica como se ataca um case de entrada em mercado.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Memória de cálculo visível. Número sem conta à vista tem nota máxima de 2 em acurácia.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Toda premissa que vocês criarem além dos anexos vai no campo de premissas do template.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Entrega em dupla por e-mail, para equipeccu@gmail.com, até domingo 27/09 às 23h59. No assunto: Case 01 FemVest e os nomes da dupla. Depois do horário não entra.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  ·  uso interno de treinamento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756000" cy="36273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36273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Semana 1  ·  Market Entry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