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C1272D"/>
          <w:sz w:val="38"/>
        </w:rPr>
        <w:t>Market Entry e Novo Produto</w:t>
      </w:r>
    </w:p>
    <w:p>
      <w:pPr>
        <w:spacing w:after="120"/>
      </w:pPr>
      <w:r>
        <w:rPr>
          <w:i/>
          <w:color w:val="475569"/>
          <w:sz w:val="18"/>
        </w:rPr>
        <w:t>Guia de tipo de case  ·  como atacar, as contas que sempre caem e os macetes</w:t>
      </w:r>
    </w:p>
    <w:p>
      <w:pPr>
        <w:spacing w:after="60"/>
      </w:pPr>
      <w:r>
        <w:rPr>
          <w:b w:val="0"/>
          <w:i w:val="0"/>
          <w:color w:val="1E293B"/>
          <w:sz w:val="19"/>
        </w:rPr>
        <w:t>Este guia vale para qualquer setor. Ele é sobre o tipo de pergunta, não sobre o mercado da semana. Entrar em um país, lançar um produto, abrir um canal ou atacar um novo segmento são variações do mesmo case, e todas se resolvem com a mesma estrutura.</w:t>
      </w:r>
    </w:p>
    <w:p>
      <w:pPr>
        <w:keepNext/>
        <w:spacing w:before="140" w:after="40"/>
        <w:pBdr>
          <w:bottom w:val="single" w:sz="6" w:color="C1272D"/>
        </w:pBdr>
      </w:pPr>
      <w:r>
        <w:rPr>
          <w:b/>
          <w:color w:val="C1272D"/>
          <w:sz w:val="21"/>
        </w:rPr>
        <w:t>1. Como reconhecer que é este tipo de case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A pergunta vem em forma de decisão binária com um alvo novo: devemos entrar, devemos lançar, vale a pena abrir.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O cliente já existe e é saudável, mas está olhando para fora. Se a empresa está com problema interno de rentabilidade, o case é outro.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Aparecem palavras como potencial de mercado, business case inicial, go-to-market, viabilidade e segmento-alvo.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Costuma vir com decisões estratégicas explicitamente em aberto. Isso é convite para você estruturar, não para adivinhar o que o entrevistador quer ouvir.</w:t>
      </w:r>
    </w:p>
    <w:p>
      <w:pPr>
        <w:keepNext/>
        <w:spacing w:before="140" w:after="40"/>
        <w:pBdr>
          <w:bottom w:val="single" w:sz="6" w:color="C1272D"/>
        </w:pBdr>
      </w:pPr>
      <w:r>
        <w:rPr>
          <w:b/>
          <w:color w:val="C1272D"/>
          <w:sz w:val="21"/>
        </w:rPr>
        <w:t>2. A estrutura que funciona, em quatro blocos</w:t>
      </w:r>
    </w:p>
    <w:p>
      <w:pPr>
        <w:spacing w:after="40"/>
      </w:pPr>
      <w:r>
        <w:rPr>
          <w:b w:val="0"/>
          <w:i/>
          <w:color w:val="475569"/>
          <w:sz w:val="17"/>
        </w:rPr>
        <w:t>Ataque sempre nesta ordem. Pular o bloco 3 é o erro mais comum, e é o que separa uma análise de uma opinião.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928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type="dxa" w:w="204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 pergunta</w:t>
            </w:r>
          </w:p>
        </w:tc>
        <w:tc>
          <w:tcPr>
            <w:tcW w:type="dxa" w:w="6009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 que olhar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1. O mercado vale a pena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color w:val="1E293B"/>
                <w:sz w:val="16"/>
              </w:rPr>
              <w:t>O prêmio é grande o suficiente?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color w:val="1E293B"/>
                <w:sz w:val="16"/>
              </w:rPr>
              <w:t>Tamanho e crescimento, rentabilidade típica do setor, concentração dos players, barreiras de entrada, regulação, quem já tentou e como se saiu</w:t>
            </w:r>
          </w:p>
        </w:tc>
      </w:tr>
      <w:tr>
        <w:tc>
          <w:tcPr>
            <w:tcW w:type="dxa" w:w="1928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2. Nós conseguimos ganhar</w:t>
            </w:r>
          </w:p>
        </w:tc>
        <w:tc>
          <w:tcPr>
            <w:tcW w:type="dxa" w:w="204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Por que nós e por que agora?</w:t>
            </w:r>
          </w:p>
        </w:tc>
        <w:tc>
          <w:tcPr>
            <w:tcW w:type="dxa" w:w="600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Capacidade que já temos, diferencial que o cliente percebe, acesso a canal e a fornecedor, custo de servir contra o incumbente, o que ele faz quando reagir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3. A conta fecha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color w:val="1E293B"/>
                <w:sz w:val="16"/>
              </w:rPr>
              <w:t>Quanto entra, quanto sai, em quanto tempo?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color w:val="1E293B"/>
                <w:sz w:val="16"/>
              </w:rPr>
              <w:t>Receita pelo dimensionamento, custo fixo do dia um, custo variável, investimento, ponto de equilíbrio, tempo de retorno</w:t>
            </w:r>
          </w:p>
        </w:tc>
      </w:tr>
      <w:tr>
        <w:tc>
          <w:tcPr>
            <w:tcW w:type="dxa" w:w="1928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4. Como entrar</w:t>
            </w:r>
          </w:p>
        </w:tc>
        <w:tc>
          <w:tcPr>
            <w:tcW w:type="dxa" w:w="204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Qual o caminho e o faseamento?</w:t>
            </w:r>
          </w:p>
        </w:tc>
        <w:tc>
          <w:tcPr>
            <w:tcW w:type="dxa" w:w="6009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Orgânico, parceria ou aquisição, ordem de segmentos e geografias, marcos dos primeiros 12 meses, riscos com mitigação e o que faria abortar</w:t>
            </w:r>
          </w:p>
        </w:tc>
      </w:tr>
    </w:tbl>
    <w:p>
      <w:pPr>
        <w:spacing w:after="0"/>
      </w:pPr>
    </w:p>
    <w:p>
      <w:pPr>
        <w:keepNext/>
        <w:spacing w:before="140" w:after="40"/>
        <w:pBdr>
          <w:bottom w:val="single" w:sz="6" w:color="C1272D"/>
        </w:pBdr>
      </w:pPr>
      <w:r>
        <w:rPr>
          <w:b/>
          <w:color w:val="C1272D"/>
          <w:sz w:val="21"/>
        </w:rPr>
        <w:t>3. Dimensionamento: faça pelos dois caminhos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De cima para baixo: </w:t>
      </w:r>
      <w:r>
        <w:rPr>
          <w:color w:val="1E293B"/>
          <w:sz w:val="19"/>
        </w:rPr>
        <w:t>população ou universo de clientes, aplica filtros de idade, renda, comportamento e acesso, e chega ao mercado endereçável. Depois aplica a penetração-alvo.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De baixo para cima: </w:t>
      </w:r>
      <w:r>
        <w:rPr>
          <w:color w:val="1E293B"/>
          <w:sz w:val="19"/>
        </w:rPr>
        <w:t>capacidade ou pontos de venda × uso por período × preço. Chega na mesma resposta por outro lado.</w:t>
      </w:r>
    </w:p>
    <w:p>
      <w:pPr>
        <w:spacing w:after="60"/>
      </w:pPr>
      <w:r>
        <w:rPr>
          <w:b/>
          <w:i w:val="0"/>
          <w:color w:val="1E293B"/>
          <w:sz w:val="19"/>
        </w:rPr>
        <w:t>Macete central: faça os dois e compare. Se divergirem mais de duas vezes, uma premissa está errada, e achar qual é vale mais que qualquer refinamento de conta. Se convergirem, você acabou de ganhar o direito de confiar no número.</w:t>
      </w:r>
    </w:p>
    <w:p>
      <w:pPr>
        <w:keepNext/>
        <w:spacing w:before="140" w:after="40"/>
        <w:pBdr>
          <w:bottom w:val="single" w:sz="6" w:color="C1272D"/>
        </w:pBdr>
      </w:pPr>
      <w:r>
        <w:rPr>
          <w:b/>
          <w:color w:val="C1272D"/>
          <w:sz w:val="21"/>
        </w:rPr>
        <w:t>4. As contas que sempre caem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49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Conta</w:t>
            </w:r>
          </w:p>
        </w:tc>
        <w:tc>
          <w:tcPr>
            <w:tcW w:type="dxa" w:w="3742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Fórmula</w:t>
            </w:r>
          </w:p>
        </w:tc>
        <w:tc>
          <w:tcPr>
            <w:tcW w:type="dxa" w:w="3742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Serve para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Mercado endereçável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color w:val="1E293B"/>
                <w:sz w:val="16"/>
              </w:rPr>
              <w:t>universo × filtros de elegibilidade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color w:val="1E293B"/>
                <w:sz w:val="16"/>
              </w:rPr>
              <w:t>Delimitar o prêmio real</w:t>
            </w:r>
          </w:p>
        </w:tc>
      </w:tr>
      <w:tr>
        <w:tc>
          <w:tcPr>
            <w:tcW w:type="dxa" w:w="2494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Mercado capturável</w:t>
            </w:r>
          </w:p>
        </w:tc>
        <w:tc>
          <w:tcPr>
            <w:tcW w:type="dxa" w:w="3742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mercado endereçável × penetração-alvo</w:t>
            </w:r>
          </w:p>
        </w:tc>
        <w:tc>
          <w:tcPr>
            <w:tcW w:type="dxa" w:w="3742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Sair de mercado para cliente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Receita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color w:val="1E293B"/>
                <w:sz w:val="16"/>
              </w:rPr>
              <w:t>clientes × ticket ou clientes × consumo × preço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color w:val="1E293B"/>
                <w:sz w:val="16"/>
              </w:rPr>
              <w:t>Transformar mercado em dinheiro</w:t>
            </w:r>
          </w:p>
        </w:tc>
      </w:tr>
      <w:tr>
        <w:tc>
          <w:tcPr>
            <w:tcW w:type="dxa" w:w="2494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Receita por cliente</w:t>
            </w:r>
          </w:p>
        </w:tc>
        <w:tc>
          <w:tcPr>
            <w:tcW w:type="dxa" w:w="3742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receita ÷ clientes</w:t>
            </w:r>
          </w:p>
        </w:tc>
        <w:tc>
          <w:tcPr>
            <w:tcW w:type="dxa" w:w="3742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Comparar direto com o custo de aquisição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Equilíbrio em clientes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color w:val="1E293B"/>
                <w:sz w:val="16"/>
              </w:rPr>
              <w:t>custo fixo ÷ margem de contribuição por cliente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color w:val="1E293B"/>
                <w:sz w:val="16"/>
              </w:rPr>
              <w:t>Saber o mínimo viável</w:t>
            </w:r>
          </w:p>
        </w:tc>
      </w:tr>
      <w:tr>
        <w:tc>
          <w:tcPr>
            <w:tcW w:type="dxa" w:w="2494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Equilíbrio em preço</w:t>
            </w:r>
          </w:p>
        </w:tc>
        <w:tc>
          <w:tcPr>
            <w:tcW w:type="dxa" w:w="3742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(custo fixo ÷ volume) + custo variável unitário</w:t>
            </w:r>
          </w:p>
        </w:tc>
        <w:tc>
          <w:tcPr>
            <w:tcW w:type="dxa" w:w="3742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Testar se o preço aguenta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Retorno do custo de aquisição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color w:val="1E293B"/>
                <w:sz w:val="16"/>
              </w:rPr>
              <w:t>custo de aquisição ÷ margem por cliente por período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color w:val="1E293B"/>
                <w:sz w:val="16"/>
              </w:rPr>
              <w:t>Ver se o cliente se paga antes de sair</w:t>
            </w:r>
          </w:p>
        </w:tc>
      </w:tr>
      <w:tr>
        <w:tc>
          <w:tcPr>
            <w:tcW w:type="dxa" w:w="2494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Participação necessária</w:t>
            </w:r>
          </w:p>
        </w:tc>
        <w:tc>
          <w:tcPr>
            <w:tcW w:type="dxa" w:w="3742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clientes necessários ÷ mercado endereçável</w:t>
            </w:r>
          </w:p>
        </w:tc>
        <w:tc>
          <w:tcPr>
            <w:tcW w:type="dxa" w:w="3742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Checar sanidade contra a realidade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Investimento acumulado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color w:val="1E293B"/>
                <w:sz w:val="16"/>
              </w:rPr>
              <w:t>soma dos resultados negativos até virar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color w:val="1E293B"/>
                <w:sz w:val="16"/>
              </w:rPr>
              <w:t>Dimensionar o cheque que o cliente assina</w:t>
            </w:r>
          </w:p>
        </w:tc>
      </w:tr>
    </w:tbl>
    <w:p>
      <w:pPr>
        <w:spacing w:after="0"/>
      </w:pPr>
    </w:p>
    <w:p>
      <w:pPr>
        <w:keepNext/>
        <w:spacing w:before="140" w:after="40"/>
        <w:pBdr>
          <w:bottom w:val="single" w:sz="6" w:color="C1272D"/>
        </w:pBdr>
      </w:pPr>
      <w:r>
        <w:rPr>
          <w:b/>
          <w:color w:val="C1272D"/>
          <w:sz w:val="21"/>
        </w:rPr>
        <w:t>5. Macetes que mudam a nota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Termine o mercado em receita. </w:t>
      </w:r>
      <w:r>
        <w:rPr>
          <w:color w:val="1E293B"/>
          <w:sz w:val="19"/>
        </w:rPr>
        <w:t>Ninguém paga conta com tamanho de mercado. Todo dimensionamento precisa terminar em receita e depois em resultado.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Troque a resposta binária por condição. </w:t>
      </w:r>
      <w:r>
        <w:rPr>
          <w:color w:val="1E293B"/>
          <w:sz w:val="19"/>
        </w:rPr>
        <w:t>Em vez de responder sim ou não e torcer, diga o que precisaria ser verdade para ser sim. Vira análise em vez de aposta, e é assim que consultor fala.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Teste a unidade antes da estratégia. </w:t>
      </w:r>
      <w:r>
        <w:rPr>
          <w:color w:val="1E293B"/>
          <w:sz w:val="19"/>
        </w:rPr>
        <w:t>Se um cliente não se paga, escala só multiplica o prejuízo. Rode a conta unitária antes de discutir posicionamento.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Ancore em benchmark. </w:t>
      </w:r>
      <w:r>
        <w:rPr>
          <w:color w:val="1E293B"/>
          <w:sz w:val="19"/>
        </w:rPr>
        <w:t>Antes de aceitar sua própria estimativa, compare com um número real do setor. Se a sua conta implica ser maior que o líder em três anos, a premissa está errada.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Declare a premissa e carregue. </w:t>
      </w:r>
      <w:r>
        <w:rPr>
          <w:color w:val="1E293B"/>
          <w:sz w:val="19"/>
        </w:rPr>
        <w:t>Premissa que muda no meio da análise derruba a recomendação inteira. Escreva no começo e mantenha.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Faça sensibilidade em duas variáveis. </w:t>
      </w:r>
      <w:r>
        <w:rPr>
          <w:color w:val="1E293B"/>
          <w:sz w:val="19"/>
        </w:rPr>
        <w:t>Um cenário só é chute com ar de precisão. Mexa nas duas variáveis que mais importam e mostre onde a decisão vira.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Custo fixo existe no dia um. </w:t>
      </w:r>
      <w:r>
        <w:rPr>
          <w:color w:val="1E293B"/>
          <w:sz w:val="19"/>
        </w:rPr>
        <w:t>Licença, equipe mínima, tecnologia e compliance existem antes do primeiro cliente. Esquecer isso é o erro que mais infla business case.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Separe intenção de conversão. </w:t>
      </w:r>
      <w:r>
        <w:rPr>
          <w:color w:val="1E293B"/>
          <w:sz w:val="19"/>
        </w:rPr>
        <w:t>Cadastro não é cliente, visitante não é comprador, usuário grátis não é receita. Misturar isso destrói o número.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Responda por que nós e por que agora. </w:t>
      </w:r>
      <w:r>
        <w:rPr>
          <w:color w:val="1E293B"/>
          <w:sz w:val="19"/>
        </w:rPr>
        <w:t>Todo case de entrada tem uma resposta a essas duas perguntas, e quem não responde entrega análise sem dono.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Diga o que faria virar não. </w:t>
      </w:r>
      <w:r>
        <w:rPr>
          <w:color w:val="1E293B"/>
          <w:sz w:val="19"/>
        </w:rPr>
        <w:t>Dizer em que condição você recomendaria o contrário mostra domínio e blinda a recomendação.</w:t>
      </w:r>
    </w:p>
    <w:p>
      <w:pPr>
        <w:keepNext/>
        <w:spacing w:before="140" w:after="40"/>
        <w:pBdr>
          <w:bottom w:val="single" w:sz="6" w:color="C1272D"/>
        </w:pBdr>
      </w:pPr>
      <w:r>
        <w:rPr>
          <w:b/>
          <w:color w:val="C1272D"/>
          <w:sz w:val="21"/>
        </w:rPr>
        <w:t>6. Armadilhas que derrubam a análise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Dimensionar o mercado e parar ali, sem chegar em resultado.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Achar que nicho justifica custo de aquisição alto. Nicho reduz concorrência de mensagem, mas reduz também a base que dilui o custo fixo.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Ignorar a reação do incumbente. Ele tem caixa, marca e canal, e pode copiar em um trimestre.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Passar por cima de restrição regulatória. Em case de entrada, regulação costuma ser o fator que mata ou salva a tese, e ela não se negocia.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Recomendação sem número, ou número sem recomendação. Os dois valem meio caminho.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Confundir crescimento do mercado com a sua captura. Mercado crescendo 20% não significa que você cresce 20%.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Usar população total como mercado. Quase nunca todo mundo é cliente potencial.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Propor entrada em três frentes ao mesmo tempo. Foco é parte da recomendação.</w:t>
      </w:r>
    </w:p>
    <w:p>
      <w:pPr>
        <w:keepNext/>
        <w:spacing w:before="140" w:after="40"/>
        <w:pBdr>
          <w:bottom w:val="single" w:sz="6" w:color="C1272D"/>
        </w:pBdr>
      </w:pPr>
      <w:r>
        <w:rPr>
          <w:b/>
          <w:color w:val="C1272D"/>
          <w:sz w:val="21"/>
        </w:rPr>
        <w:t>7. Roteiro de ataque em uma semana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587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Quando</w:t>
            </w:r>
          </w:p>
        </w:tc>
        <w:tc>
          <w:tcPr>
            <w:tcW w:type="dxa" w:w="839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 que fazer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Dias 1 e 2</w:t>
            </w:r>
          </w:p>
        </w:tc>
        <w:tc>
          <w:tcPr>
            <w:tcW w:type="dxa" w:w="8391"/>
          </w:tcPr>
          <w:p>
            <w:pPr>
              <w:spacing w:after="0"/>
            </w:pPr>
            <w:r>
              <w:rPr>
                <w:color w:val="1E293B"/>
                <w:sz w:val="16"/>
              </w:rPr>
              <w:t>Lê o enunciado duas vezes, separa pergunta de dado, checa se os números fecham entre si, monta a estrutura em quatro blocos e escreve as premissas antes de calcular</w:t>
            </w:r>
          </w:p>
        </w:tc>
      </w:tr>
      <w:tr>
        <w:tc>
          <w:tcPr>
            <w:tcW w:type="dxa" w:w="1587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Dias 3 e 4</w:t>
            </w:r>
          </w:p>
        </w:tc>
        <w:tc>
          <w:tcPr>
            <w:tcW w:type="dxa" w:w="839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Dimensiona pelos dois caminhos e investiga a divergência. Faz a conta que decide: equilíbrio, retorno e investimento acumulado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Dias 5 e 6</w:t>
            </w:r>
          </w:p>
        </w:tc>
        <w:tc>
          <w:tcPr>
            <w:tcW w:type="dxa" w:w="8391"/>
          </w:tcPr>
          <w:p>
            <w:pPr>
              <w:spacing w:after="0"/>
            </w:pPr>
            <w:r>
              <w:rPr>
                <w:color w:val="1E293B"/>
                <w:sz w:val="16"/>
              </w:rPr>
              <w:t>Escreve a recomendação em uma frase com número e monta os slides em volta dela. Acrescenta sensibilidade, riscos com mitigação e próximos passos</w:t>
            </w:r>
          </w:p>
        </w:tc>
      </w:tr>
      <w:tr>
        <w:tc>
          <w:tcPr>
            <w:tcW w:type="dxa" w:w="1587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Dia 7</w:t>
            </w:r>
          </w:p>
        </w:tc>
        <w:tc>
          <w:tcPr>
            <w:tcW w:type="dxa" w:w="839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Revisa contra o checklist, confere se todos os campos do template estão preenchidos e entrega</w:t>
            </w:r>
          </w:p>
        </w:tc>
      </w:tr>
    </w:tbl>
    <w:p>
      <w:pPr>
        <w:spacing w:after="0"/>
      </w:pPr>
    </w:p>
    <w:p>
      <w:pPr>
        <w:keepNext/>
        <w:spacing w:before="140" w:after="40"/>
        <w:pBdr>
          <w:bottom w:val="single" w:sz="6" w:color="C1272D"/>
        </w:pBdr>
      </w:pPr>
      <w:r>
        <w:rPr>
          <w:b/>
          <w:color w:val="C1272D"/>
          <w:sz w:val="21"/>
        </w:rPr>
        <w:t>8. Checklist antes de enviar</w:t>
      </w:r>
    </w:p>
    <w:p>
      <w:pPr>
        <w:pStyle w:val="ListBullet"/>
        <w:spacing w:after="20"/>
        <w:ind w:left="312"/>
      </w:pPr>
      <w:r>
        <w:rPr>
          <w:color w:val="1E293B"/>
          <w:sz w:val="18"/>
        </w:rPr>
        <w:t>A recomendação está em uma frase, na primeira página, com o número que a sustenta.</w:t>
      </w:r>
    </w:p>
    <w:p>
      <w:pPr>
        <w:pStyle w:val="ListBullet"/>
        <w:spacing w:after="20"/>
        <w:ind w:left="312"/>
      </w:pPr>
      <w:r>
        <w:rPr>
          <w:color w:val="1E293B"/>
          <w:sz w:val="18"/>
        </w:rPr>
        <w:t>A cadeia do dimensionamento está visível, filtro por filtro, e dá para refazer.</w:t>
      </w:r>
    </w:p>
    <w:p>
      <w:pPr>
        <w:pStyle w:val="ListBullet"/>
        <w:spacing w:after="20"/>
        <w:ind w:left="312"/>
      </w:pPr>
      <w:r>
        <w:rPr>
          <w:color w:val="1E293B"/>
          <w:sz w:val="18"/>
        </w:rPr>
        <w:t>O dimensionamento virou receita e a receita virou resultado.</w:t>
      </w:r>
    </w:p>
    <w:p>
      <w:pPr>
        <w:pStyle w:val="ListBullet"/>
        <w:spacing w:after="20"/>
        <w:ind w:left="312"/>
      </w:pPr>
      <w:r>
        <w:rPr>
          <w:color w:val="1E293B"/>
          <w:sz w:val="18"/>
        </w:rPr>
        <w:t>As premissas estão escritas e não mudaram no meio do caminho.</w:t>
      </w:r>
    </w:p>
    <w:p>
      <w:pPr>
        <w:pStyle w:val="ListBullet"/>
        <w:spacing w:after="20"/>
        <w:ind w:left="312"/>
      </w:pPr>
      <w:r>
        <w:rPr>
          <w:color w:val="1E293B"/>
          <w:sz w:val="18"/>
        </w:rPr>
        <w:t>Existe a conta de quanto é o mínimo para o negócio se pagar.</w:t>
      </w:r>
    </w:p>
    <w:p>
      <w:pPr>
        <w:pStyle w:val="ListBullet"/>
        <w:spacing w:after="20"/>
        <w:ind w:left="312"/>
      </w:pPr>
      <w:r>
        <w:rPr>
          <w:color w:val="1E293B"/>
          <w:sz w:val="18"/>
        </w:rPr>
        <w:t>Existe pelo menos uma sensibilidade e uma condição que faria a resposta virar não.</w:t>
      </w:r>
    </w:p>
    <w:p>
      <w:pPr>
        <w:pStyle w:val="ListBullet"/>
        <w:spacing w:after="20"/>
        <w:ind w:left="312"/>
      </w:pPr>
      <w:r>
        <w:rPr>
          <w:color w:val="1E293B"/>
          <w:sz w:val="18"/>
        </w:rPr>
        <w:t>As perguntas por que nós e por que agora estão respondidas.</w:t>
      </w:r>
    </w:p>
    <w:p>
      <w:pPr>
        <w:pStyle w:val="ListBullet"/>
        <w:spacing w:after="20"/>
        <w:ind w:left="312"/>
      </w:pPr>
      <w:r>
        <w:rPr>
          <w:color w:val="1E293B"/>
          <w:sz w:val="18"/>
        </w:rPr>
        <w:t>Os riscos são específicos da recomendação, e não crise, câmbio ou concorrência genérica.</w:t>
      </w:r>
    </w:p>
    <w:p>
      <w:pPr>
        <w:pStyle w:val="ListBullet"/>
        <w:spacing w:after="20"/>
        <w:ind w:left="312"/>
      </w:pPr>
      <w:r>
        <w:rPr>
          <w:color w:val="1E293B"/>
          <w:sz w:val="18"/>
        </w:rPr>
        <w:t>Está no formato pedido, com todos os campos do template preenchidos.</w:t>
      </w:r>
    </w:p>
    <w:p>
      <w:pPr>
        <w:spacing w:after="0"/>
      </w:pPr>
      <w:r>
        <w:rPr>
          <w:b/>
          <w:i/>
          <w:color w:val="C1272D"/>
          <w:sz w:val="18"/>
        </w:rPr>
        <w:t>Regra final: em case de entrada, o entrevistador não está comprando o seu número, está comprando o seu raciocínio até chegar nele. Deixe o caminho visível.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24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5"/>
      </w:rPr>
      <w:t>Clube de Consultoria Universitário  ·  Gestão de Pessoas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05" w:val="right"/>
      </w:tabs>
    </w:pPr>
    <w:r>
      <w:drawing>
        <wp:inline xmlns:a="http://schemas.openxmlformats.org/drawingml/2006/main" xmlns:pic="http://schemas.openxmlformats.org/drawingml/2006/picture">
          <wp:extent cx="720000" cy="34546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ccu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345466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C1272D"/>
        <w:sz w:val="17"/>
      </w:rPr>
      <w:tab/>
      <w:t>Guia de tipo de case  ·  Ciclo de cases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