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51"/>
            <w:shd w:val="clear" w:fill="FFF9DB"/>
          </w:tcPr>
          <w:p>
            <w:pPr>
              <w:spacing w:after="40"/>
            </w:pPr>
            <w:r>
              <w:rPr>
                <w:b/>
                <w:color w:val="8E0C22"/>
                <w:sz w:val="18"/>
              </w:rPr>
              <w:t>Modelo do enunciado. Substitua tudo que está entre colchetes e em cinza. Antes de enviar para os membros, apague este bloco e a última página, que é o checklist de quem monta o case.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color w:val="C1272D"/>
          <w:sz w:val="40"/>
        </w:rPr>
        <w:t>Case [nº]: [nome do case]</w:t>
      </w:r>
    </w:p>
    <w:p>
      <w:pPr>
        <w:spacing w:after="140"/>
      </w:pPr>
      <w:r>
        <w:rPr>
          <w:i/>
          <w:color w:val="475569"/>
          <w:sz w:val="18"/>
        </w:rPr>
        <w:t>[uma linha dizendo do que se trata]  ·  entrega em dupla  ·  até [dia e data] às 23h59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Contexto</w:t>
      </w:r>
    </w:p>
    <w:p>
      <w:pPr>
        <w:spacing w:after="80"/>
      </w:pPr>
      <w:r>
        <w:rPr>
          <w:i/>
          <w:color w:val="94A3B8"/>
          <w:sz w:val="20"/>
        </w:rPr>
        <w:t>[Primeiro parágrafo: quem é a empresa, em que mercado atua e qual a situação. Duas a quatro linhas, sem adjetivo desnecessário.]</w:t>
      </w:r>
    </w:p>
    <w:p>
      <w:pPr>
        <w:spacing w:after="80"/>
      </w:pPr>
      <w:r>
        <w:rPr>
          <w:i/>
          <w:color w:val="94A3B8"/>
          <w:sz w:val="20"/>
        </w:rPr>
        <w:t>[Segundo parágrafo: o que já está resolvido e o que está em aberto. É aqui que se define o escopo do trabalho da dupla.]</w:t>
      </w:r>
    </w:p>
    <w:p>
      <w:pPr>
        <w:spacing w:after="80"/>
      </w:pPr>
      <w:r>
        <w:rPr>
          <w:i/>
          <w:color w:val="94A3B8"/>
          <w:sz w:val="20"/>
        </w:rPr>
        <w:t>[Terceiro parágrafo: o que o cliente quer da dupla, e a meta numérica, se houver.]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Anexo A: premissas [do dimensionamento / da conta principal]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9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Premissa</w:t>
            </w:r>
          </w:p>
        </w:tc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[premissa 1]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[premissa 2]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[premissa 3]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[premissa 4]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[premissa 5]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[premissa 6]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i/>
          <w:color w:val="94A3B8"/>
          <w:sz w:val="20"/>
        </w:rPr>
        <w:t>[Se quiser fixar a aritmética para as entregas ficarem comparáveis, escreva aqui que estes números devem ser usados exatamente como estão.]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Anexo B: [dados de custo, volume ou projeção]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9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[item 1]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[item 2]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[item 3]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[item 4]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[item 5]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[item 6]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9"/>
              </w:rPr>
              <w:t>[valor]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i/>
          <w:color w:val="94A3B8"/>
          <w:sz w:val="20"/>
        </w:rPr>
        <w:t>[Se alguma premissa de aplicação for parte do desafio, diga que a dupla precisa decidir e justificar, sem entregar a regra.]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Anexo C: [gráfico ou tabela de apoio]</w:t>
      </w:r>
    </w:p>
    <w:p>
      <w:pPr>
        <w:spacing w:after="40"/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trHeight w:val="2041" w:hRule="atLeast"/>
        </w:trPr>
        <w:tc>
          <w:tcPr>
            <w:tcW w:type="dxa" w:w="7937"/>
            <w:shd w:val="clear" w:fill="F8FAFC"/>
          </w:tcPr>
          <w:p>
            <w:pPr>
              <w:jc w:val="center"/>
            </w:pPr>
            <w:r>
              <w:rPr>
                <w:i/>
                <w:color w:val="94A3B8"/>
                <w:sz w:val="18"/>
              </w:rPr>
              <w:t>[inserir aqui o gráfico ou a tabela]</w:t>
              <w:br/>
              <w:br/>
              <w:t>[se o dado for fictício, escreva isso no rodapé da imagem]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i/>
          <w:color w:val="94A3B8"/>
          <w:sz w:val="20"/>
        </w:rPr>
        <w:t>[Uma linha orientando o que olhar no exhibit, sem entregar a conclusão.]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Anexo D: [informações adicionais]</w:t>
      </w:r>
    </w:p>
    <w:p>
      <w:pPr>
        <w:pStyle w:val="ListBullet"/>
        <w:spacing w:after="20"/>
        <w:ind w:left="312"/>
      </w:pPr>
      <w:r>
        <w:rPr>
          <w:i/>
          <w:color w:val="94A3B8"/>
          <w:sz w:val="19"/>
        </w:rPr>
        <w:t>[preferências do cliente, padrão do setor, restrição regulatória ou o que mais for necessário para resolver]</w:t>
      </w:r>
    </w:p>
    <w:p>
      <w:pPr>
        <w:pStyle w:val="ListBullet"/>
        <w:spacing w:after="20"/>
        <w:ind w:left="312"/>
      </w:pPr>
      <w:r>
        <w:rPr>
          <w:i/>
          <w:color w:val="94A3B8"/>
          <w:sz w:val="19"/>
        </w:rPr>
        <w:t>[um item por linha, sempre um dado, não uma opinião]</w:t>
      </w:r>
    </w:p>
    <w:p>
      <w:pPr>
        <w:pStyle w:val="ListBullet"/>
        <w:spacing w:after="20"/>
        <w:ind w:left="312"/>
      </w:pPr>
      <w:r>
        <w:rPr>
          <w:i/>
          <w:color w:val="94A3B8"/>
          <w:sz w:val="19"/>
        </w:rPr>
        <w:t>[se houver restrição que muda a resposta, ela entra aqui]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As perguntas</w:t>
      </w:r>
    </w:p>
    <w:p>
      <w:pPr>
        <w:spacing w:after="80"/>
      </w:pPr>
      <w:r>
        <w:rPr>
          <w:b w:val="0"/>
          <w:i/>
          <w:color w:val="475569"/>
          <w:sz w:val="17"/>
        </w:rPr>
        <w:t>Entre três e cinco. Ordem que funciona: primeiro a conta, depois a decisão, depois a estratégia.</w:t>
      </w:r>
    </w:p>
    <w:p>
      <w:pPr>
        <w:spacing w:after="80"/>
      </w:pPr>
      <w:r>
        <w:rPr>
          <w:b/>
          <w:color w:val="C1272D"/>
          <w:sz w:val="22"/>
        </w:rPr>
        <w:t xml:space="preserve">1.  </w:t>
      </w:r>
      <w:r>
        <w:rPr>
          <w:i/>
          <w:color w:val="94A3B8"/>
          <w:sz w:val="20"/>
        </w:rPr>
        <w:t>[pergunta 1, respondível apenas com o que está nos anexos]</w:t>
      </w:r>
    </w:p>
    <w:p>
      <w:pPr>
        <w:spacing w:after="80"/>
      </w:pPr>
      <w:r>
        <w:rPr>
          <w:b/>
          <w:color w:val="C1272D"/>
          <w:sz w:val="22"/>
        </w:rPr>
        <w:t xml:space="preserve">2.  </w:t>
      </w:r>
      <w:r>
        <w:rPr>
          <w:i/>
          <w:color w:val="94A3B8"/>
          <w:sz w:val="20"/>
        </w:rPr>
        <w:t>[pergunta 2, respondível apenas com o que está nos anexos]</w:t>
      </w:r>
    </w:p>
    <w:p>
      <w:pPr>
        <w:spacing w:after="80"/>
      </w:pPr>
      <w:r>
        <w:rPr>
          <w:b/>
          <w:color w:val="C1272D"/>
          <w:sz w:val="22"/>
        </w:rPr>
        <w:t xml:space="preserve">3.  </w:t>
      </w:r>
      <w:r>
        <w:rPr>
          <w:i/>
          <w:color w:val="94A3B8"/>
          <w:sz w:val="20"/>
        </w:rPr>
        <w:t>[pergunta 3, respondível apenas com o que está nos anexos]</w:t>
      </w:r>
    </w:p>
    <w:p>
      <w:pPr>
        <w:spacing w:after="80"/>
      </w:pPr>
      <w:r>
        <w:rPr>
          <w:b/>
          <w:color w:val="C1272D"/>
          <w:sz w:val="22"/>
        </w:rPr>
        <w:t xml:space="preserve">4.  </w:t>
      </w:r>
      <w:r>
        <w:rPr>
          <w:i/>
          <w:color w:val="94A3B8"/>
          <w:sz w:val="20"/>
        </w:rPr>
        <w:t>[pergunta 4, respondível apenas com o que está nos anexos]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Como entregar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A entrega é feita no template do ciclo, o mesmo de toda semana, preenchendo todos os campos. Campo em branco conta como não respondido.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Comecem pelo guia de tipo de case, que explica como se ataca este tipo de problema.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Memória de cálculo visível. Número sem conta à vista tem nota máxima de 2 em acurácia.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Toda premissa que vocês criarem além dos anexos vai no campo de premissas do template.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Entrega em dupla por e-mail, para equipeccu@gmail.com, até [dia e data] às 23h59. No assunto: [nome do case] e os nomes da dupla. Depois do horário não entra.</w:t>
      </w:r>
    </w:p>
    <w:p>
      <w:pPr>
        <w:spacing w:after="40"/>
      </w:pPr>
      <w:r>
        <w:rPr>
          <w:i/>
          <w:color w:val="94A3B8"/>
          <w:sz w:val="20"/>
        </w:rPr>
        <w:t>[Se as perguntas não caírem naturalmente nas seções do template, acrescente aqui uma linha dizendo onde responder cada uma.]</w:t>
      </w:r>
    </w:p>
    <w:p>
      <w:r>
        <w:br w:type="page"/>
      </w:r>
    </w:p>
    <w:p>
      <w:pPr>
        <w:spacing w:after="40"/>
      </w:pPr>
      <w:r>
        <w:rPr>
          <w:b/>
          <w:color w:val="C1272D"/>
          <w:sz w:val="32"/>
        </w:rPr>
        <w:t>Checklist de quem monta o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51"/>
            <w:shd w:val="clear" w:fill="FBDCE2"/>
          </w:tcPr>
          <w:p>
            <w:pPr>
              <w:spacing w:after="40"/>
            </w:pPr>
            <w:r>
              <w:rPr>
                <w:b/>
                <w:color w:val="8E0C22"/>
                <w:sz w:val="18"/>
              </w:rPr>
              <w:t>Esta página não vai para os membros. Apague antes de enviar.</w:t>
            </w:r>
          </w:p>
        </w:tc>
      </w:tr>
    </w:tbl>
    <w:p>
      <w:pPr>
        <w:spacing w:after="4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O que precisa estar plantado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49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Qual é, neste case</w:t>
            </w:r>
          </w:p>
        </w:tc>
        <w:tc>
          <w:tcPr>
            <w:tcW w:type="dxa" w:w="4195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Por que é obrigatório</w:t>
            </w:r>
          </w:p>
        </w:tc>
      </w:tr>
      <w:tr>
        <w:trPr>
          <w:trHeight w:val="454" w:hRule="atLeast"/>
        </w:trPr>
        <w:tc>
          <w:tcPr>
            <w:tcW w:type="dxa" w:w="249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Conta central com resposta única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7"/>
              </w:rPr>
              <w:t>[preencher]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Permite corrigir sem discussão. Dois corretores têm que chegar ao mesmo número</w:t>
            </w:r>
          </w:p>
        </w:tc>
      </w:tr>
      <w:tr>
        <w:trPr>
          <w:trHeight w:val="454" w:hRule="atLeast"/>
        </w:trPr>
        <w:tc>
          <w:tcPr>
            <w:tcW w:type="dxa" w:w="249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Segunda conta, a que decide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7"/>
              </w:rPr>
              <w:t>[preencher]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Equilíbrio, impacto ou retorno. Separa quem calcula de quem decide</w:t>
            </w:r>
          </w:p>
        </w:tc>
      </w:tr>
      <w:tr>
        <w:trPr>
          <w:trHeight w:val="454" w:hRule="atLeast"/>
        </w:trPr>
        <w:tc>
          <w:tcPr>
            <w:tcW w:type="dxa" w:w="249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Premissa deliberadamente em aberto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7"/>
              </w:rPr>
              <w:t>[preencher]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tem resposta certa. Pontua quem declara e carrega até o fim</w:t>
            </w:r>
          </w:p>
        </w:tc>
      </w:tr>
      <w:tr>
        <w:trPr>
          <w:trHeight w:val="454" w:hRule="atLeast"/>
        </w:trPr>
        <w:tc>
          <w:tcPr>
            <w:tcW w:type="dxa" w:w="249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Inconsistência plantada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7"/>
              </w:rPr>
              <w:t>[preencher]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color w:val="1E293B"/>
                <w:sz w:val="17"/>
              </w:rPr>
              <w:t>É o item que a IA aceita sem questionar e o melhor discriminador do case</w:t>
            </w:r>
          </w:p>
        </w:tc>
      </w:tr>
      <w:tr>
        <w:trPr>
          <w:trHeight w:val="454" w:hRule="atLeast"/>
        </w:trPr>
        <w:tc>
          <w:tcPr>
            <w:tcW w:type="dxa" w:w="249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Bônus analítico da semana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i/>
                <w:color w:val="94A3B8"/>
                <w:sz w:val="17"/>
              </w:rPr>
              <w:t>[preencher]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color w:val="1E293B"/>
                <w:sz w:val="17"/>
              </w:rPr>
              <w:t>O que vale os 5 pontos extras da gamificação</w:t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Gabarito, escrever antes de publicar</w:t>
      </w:r>
    </w:p>
    <w:p>
      <w:pPr>
        <w:spacing w:after="60"/>
      </w:pPr>
      <w:r>
        <w:rPr>
          <w:b w:val="0"/>
          <w:i/>
          <w:color w:val="475569"/>
          <w:sz w:val="17"/>
        </w:rPr>
        <w:t>Se você não resolve o case em vinte minutos com os próprios anexos, o membro não resolve em uma semana.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247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850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Resposta esperada e cálculo</w:t>
            </w:r>
          </w:p>
        </w:tc>
      </w:tr>
      <w:tr>
        <w:trPr>
          <w:trHeight w:val="624" w:hRule="atLeast"/>
        </w:trPr>
        <w:tc>
          <w:tcPr>
            <w:tcW w:type="dxa" w:w="1247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8504"/>
          </w:tcPr>
          <w:p>
            <w:pPr>
              <w:spacing w:after="0"/>
            </w:pPr>
            <w:r>
              <w:rPr>
                <w:i/>
                <w:color w:val="94A3B8"/>
                <w:sz w:val="18"/>
              </w:rPr>
              <w:t>[preencher]</w:t>
            </w:r>
          </w:p>
        </w:tc>
      </w:tr>
      <w:tr>
        <w:trPr>
          <w:trHeight w:val="624" w:hRule="atLeast"/>
        </w:trPr>
        <w:tc>
          <w:tcPr>
            <w:tcW w:type="dxa" w:w="1247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8504"/>
          </w:tcPr>
          <w:p>
            <w:pPr>
              <w:spacing w:after="0"/>
            </w:pPr>
            <w:r>
              <w:rPr>
                <w:i/>
                <w:color w:val="94A3B8"/>
                <w:sz w:val="18"/>
              </w:rPr>
              <w:t>[preencher]</w:t>
            </w:r>
          </w:p>
        </w:tc>
      </w:tr>
      <w:tr>
        <w:trPr>
          <w:trHeight w:val="624" w:hRule="atLeast"/>
        </w:trPr>
        <w:tc>
          <w:tcPr>
            <w:tcW w:type="dxa" w:w="1247"/>
          </w:tcPr>
          <w:p>
            <w:pPr>
              <w:spacing w:after="0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8504"/>
          </w:tcPr>
          <w:p>
            <w:pPr>
              <w:spacing w:after="0"/>
            </w:pPr>
            <w:r>
              <w:rPr>
                <w:i/>
                <w:color w:val="94A3B8"/>
                <w:sz w:val="18"/>
              </w:rPr>
              <w:t>[preencher]</w:t>
            </w:r>
          </w:p>
        </w:tc>
      </w:tr>
      <w:tr>
        <w:trPr>
          <w:trHeight w:val="624" w:hRule="atLeast"/>
        </w:trPr>
        <w:tc>
          <w:tcPr>
            <w:tcW w:type="dxa" w:w="1247"/>
          </w:tcPr>
          <w:p>
            <w:pPr>
              <w:spacing w:after="0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8504"/>
          </w:tcPr>
          <w:p>
            <w:pPr>
              <w:spacing w:after="0"/>
            </w:pPr>
            <w:r>
              <w:rPr>
                <w:i/>
                <w:color w:val="94A3B8"/>
                <w:sz w:val="18"/>
              </w:rPr>
              <w:t>[preencher]</w:t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Rubrica da semana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02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771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102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Peso</w:t>
            </w:r>
          </w:p>
        </w:tc>
      </w:tr>
      <w:tr>
        <w:trPr>
          <w:trHeight w:val="283" w:hRule="atLeast"/>
        </w:trPr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C1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Recomendação clara, em uma frase, com número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</w:t>
            </w:r>
          </w:p>
        </w:tc>
      </w:tr>
      <w:tr>
        <w:trPr>
          <w:trHeight w:val="283" w:hRule="atLeast"/>
        </w:trPr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A1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i/>
                <w:color w:val="94A3B8"/>
                <w:sz w:val="17"/>
              </w:rPr>
              <w:t>[critério da pergunta 1]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</w:t>
            </w:r>
          </w:p>
        </w:tc>
      </w:tr>
      <w:tr>
        <w:trPr>
          <w:trHeight w:val="283" w:hRule="atLeast"/>
        </w:trPr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A2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i/>
                <w:color w:val="94A3B8"/>
                <w:sz w:val="17"/>
              </w:rPr>
              <w:t>[critério da pergunta 2]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</w:t>
            </w:r>
          </w:p>
        </w:tc>
      </w:tr>
      <w:tr>
        <w:trPr>
          <w:trHeight w:val="283" w:hRule="atLeast"/>
        </w:trPr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R1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i/>
                <w:color w:val="94A3B8"/>
                <w:sz w:val="17"/>
              </w:rPr>
              <w:t>[critério da pergunta 3]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</w:t>
            </w:r>
          </w:p>
        </w:tc>
      </w:tr>
      <w:tr>
        <w:trPr>
          <w:trHeight w:val="283" w:hRule="atLeast"/>
        </w:trPr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R2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i/>
                <w:color w:val="94A3B8"/>
                <w:sz w:val="17"/>
              </w:rPr>
              <w:t>[critério da pergunta 4]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</w:t>
            </w:r>
          </w:p>
        </w:tc>
      </w:tr>
      <w:tr>
        <w:trPr>
          <w:trHeight w:val="283" w:hRule="atLeast"/>
        </w:trPr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E1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Template preenchido por completo e prazo respeitado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Antes de publicar, confira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Todo dado necessário está nos anexos e não falta nada para resolver.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Os números fecham entre si, exceto a inconsistência plantada de propósito.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Você resolveu o case inteiro e o gabarito está escrito.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Cada pergunta tem lugar no template de entrega do ciclo.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A fonte do case, se houver, está registrada nesta página e não no enunciado.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O prazo e o e-mail de entrega estão preenchidos no bloco Como entregar.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Se o item de conta tiver mais de 75% de acerto na correção, ele não separou ninguém. Mire em acerto médio perto da metade.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5"/>
      </w:rPr>
      <w:t>Clube de Consultoria Universitário  ·  Gestão de Pessoas  ·  uso interno de treinamento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91" w:val="right"/>
      </w:tabs>
    </w:pPr>
    <w:r>
      <w:drawing>
        <wp:inline xmlns:a="http://schemas.openxmlformats.org/drawingml/2006/main" xmlns:pic="http://schemas.openxmlformats.org/drawingml/2006/picture">
          <wp:extent cx="648000" cy="3109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310919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7"/>
      </w:rPr>
      <w:tab/>
      <w:t>Ciclo de cases  ·  Semana [n]  ·  [tipo de case]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