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C1272D"/>
          <w:sz w:val="42"/>
        </w:rPr>
        <w:t>Relatório setorial: Neobrokers e investimento de varejo</w:t>
      </w:r>
    </w:p>
    <w:p>
      <w:pPr>
        <w:spacing w:after="180"/>
      </w:pPr>
      <w:r>
        <w:rPr>
          <w:i/>
          <w:color w:val="475569"/>
          <w:sz w:val="19"/>
        </w:rPr>
        <w:t>Alemanha  ·  Semana 1  ·  ciclo de 18/09 a 25/09  ·  leia antes de abrir o enunciado</w:t>
      </w:r>
    </w:p>
    <w:p>
      <w:pPr>
        <w:spacing w:after="100"/>
      </w:pPr>
      <w:r>
        <w:rPr>
          <w:b w:val="0"/>
          <w:i w:val="0"/>
          <w:color w:val="1E293B"/>
          <w:sz w:val="21"/>
        </w:rPr>
        <w:t>Neobroker é corretora nativa de celular, com custo por ordem próximo de zero, conta aberta em minutos e foco em quem investe pouco e com frequência. O setor cresceu vendendo gratuidade. O ponto central desta semana é que o motor que financiava essa gratuidade acabou de ser proibido na Europa.</w:t>
      </w:r>
    </w:p>
    <w:p>
      <w:pPr>
        <w:spacing w:before="220" w:after="80"/>
        <w:pBdr>
          <w:bottom w:val="single" w:sz="6" w:color="C1272D"/>
        </w:pBdr>
      </w:pPr>
      <w:r>
        <w:rPr>
          <w:b/>
          <w:color w:val="C1272D"/>
          <w:sz w:val="24"/>
        </w:rPr>
        <w:t>1. O que mudou em 2026 e por que decide o case</w:t>
      </w:r>
    </w:p>
    <w:p>
      <w:pPr>
        <w:spacing w:after="80"/>
      </w:pPr>
      <w:r>
        <w:rPr>
          <w:b w:val="0"/>
          <w:i w:val="0"/>
          <w:color w:val="1E293B"/>
          <w:sz w:val="20"/>
        </w:rPr>
        <w:t>Até este ano, boa parte da receita dos neobrokers europeus vinha do PFOF, o pagamento que a corretora recebia para direcionar as ordens dos clientes a determinado formador de mercado. Era isso que permitia cobrar quase nada do investidor.</w:t>
      </w:r>
    </w:p>
    <w:p>
      <w:pPr>
        <w:pStyle w:val="ListBullet"/>
        <w:spacing w:after="40"/>
      </w:pPr>
      <w:r>
        <w:rPr>
          <w:color w:val="1E293B"/>
          <w:sz w:val="20"/>
        </w:rPr>
        <w:t>O artigo 39a do MiFIR proíbe a prática. A Alemanha usou a transição nacional, e o último dia em que uma corretora pôde receber PFOF de clientes domésticos foi 30 de junho de 2026. Desde 1º de julho de 2026 a proibição vale integralmente.</w:t>
      </w:r>
    </w:p>
    <w:p>
      <w:pPr>
        <w:pStyle w:val="ListBullet"/>
        <w:spacing w:after="40"/>
      </w:pPr>
      <w:r>
        <w:rPr>
          <w:color w:val="1E293B"/>
          <w:sz w:val="20"/>
        </w:rPr>
        <w:t>Consequência prática: quem lança neobroker na Alemanha em 2026 não pode montar o modelo de receita sobre PFOF. Não é tendência, é restrição legal em vigor.</w:t>
      </w:r>
    </w:p>
    <w:p>
      <w:pPr>
        <w:pStyle w:val="ListBullet"/>
        <w:spacing w:after="40"/>
      </w:pPr>
      <w:r>
        <w:rPr>
          <w:color w:val="1E293B"/>
          <w:sz w:val="20"/>
        </w:rPr>
        <w:t>O setor migrou para monetizar o patrimônio parado do cliente, sobretudo por aluguel de ativos, e isso já está no radar dos reguladores europeus.</w:t>
      </w:r>
    </w:p>
    <w:p>
      <w:pPr>
        <w:pStyle w:val="ListBullet"/>
        <w:spacing w:after="40"/>
      </w:pPr>
      <w:r>
        <w:rPr>
          <w:color w:val="1E293B"/>
          <w:sz w:val="20"/>
        </w:rPr>
        <w:t>Do outro lado, a reforma da previdência alemã prevista para 2027 cria um veículo que permite investir em ações, fundos e ETFs com custo baixo e sem garantia de capital obrigatória, com resgate a partir dos 65 anos. É vento a favor para quem entra agora.</w:t>
      </w:r>
    </w:p>
    <w:p>
      <w:pPr>
        <w:spacing w:before="220" w:after="80"/>
        <w:pBdr>
          <w:bottom w:val="single" w:sz="6" w:color="C1272D"/>
        </w:pBdr>
      </w:pPr>
      <w:r>
        <w:rPr>
          <w:b/>
          <w:color w:val="C1272D"/>
          <w:sz w:val="24"/>
        </w:rPr>
        <w:t>2. Como o setor ganha dinheiro depois do PFOF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494"/>
            <w:shd w:val="clear" w:fill="C1272D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Linha de receita</w:t>
            </w:r>
          </w:p>
        </w:tc>
        <w:tc>
          <w:tcPr>
            <w:tcW w:type="dxa" w:w="3628"/>
            <w:shd w:val="clear" w:fill="C1272D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Como funciona</w:t>
            </w:r>
          </w:p>
        </w:tc>
        <w:tc>
          <w:tcPr>
            <w:tcW w:type="dxa" w:w="3628"/>
            <w:shd w:val="clear" w:fill="C1272D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O que ela exige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Juros sobre caixa não investido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Spread entre o juro que a corretora recebe e o que paga ao cliente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Saldo parado alto e licença bancária ou parceiro</w:t>
            </w:r>
          </w:p>
        </w:tc>
      </w:tr>
      <w:tr>
        <w:tc>
          <w:tcPr>
            <w:tcW w:type="dxa" w:w="2494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Assinatura ou plano premium</w:t>
            </w:r>
          </w:p>
        </w:tc>
        <w:tc>
          <w:tcPr>
            <w:tcW w:type="dxa" w:w="3628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Mensalidade que reduz custo de ordem e libera funções</w:t>
            </w:r>
          </w:p>
        </w:tc>
        <w:tc>
          <w:tcPr>
            <w:tcW w:type="dxa" w:w="3628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Base disposta a pagar. Converte pouco em público iniciante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Aluguel de ativos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Empréstimo dos papéis do cliente, com repasse parcial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Escala de custódia e transparência com o cliente</w:t>
            </w:r>
          </w:p>
        </w:tc>
      </w:tr>
      <w:tr>
        <w:tc>
          <w:tcPr>
            <w:tcW w:type="dxa" w:w="2494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Comissão explícita por ordem</w:t>
            </w:r>
          </w:p>
        </w:tc>
        <w:tc>
          <w:tcPr>
            <w:tcW w:type="dxa" w:w="3628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Cobrança direta, do tipo taxa fixa por operação</w:t>
            </w:r>
          </w:p>
        </w:tc>
        <w:tc>
          <w:tcPr>
            <w:tcW w:type="dxa" w:w="3628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Cliente que opera com frequência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Câmbio e produtos de terceiros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Spread em moeda e acordos de distribuição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Sortimento internacional</w:t>
            </w:r>
          </w:p>
        </w:tc>
      </w:tr>
      <w:tr>
        <w:tc>
          <w:tcPr>
            <w:tcW w:type="dxa" w:w="2494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Taxa em aporte recorrente</w:t>
            </w:r>
          </w:p>
        </w:tc>
        <w:tc>
          <w:tcPr>
            <w:tcW w:type="dxa" w:w="3628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Cobrança pequena por aporte programado</w:t>
            </w:r>
          </w:p>
        </w:tc>
        <w:tc>
          <w:tcPr>
            <w:tcW w:type="dxa" w:w="3628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Volume grande de aportes pequenos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  <w:i w:val="0"/>
          <w:color w:val="1E293B"/>
          <w:sz w:val="20"/>
        </w:rPr>
        <w:t>A identidade que organiza qualquer business case do setor: receita = clientes custeados × patrimônio médio por cliente × yield de receita sobre patrimônio.</w:t>
      </w:r>
    </w:p>
    <w:p>
      <w:pPr>
        <w:spacing w:before="220" w:after="80"/>
        <w:pBdr>
          <w:bottom w:val="single" w:sz="6" w:color="C1272D"/>
        </w:pBdr>
      </w:pPr>
      <w:r>
        <w:rPr>
          <w:b/>
          <w:color w:val="C1272D"/>
          <w:sz w:val="24"/>
        </w:rPr>
        <w:t>3. Indicadores que decidem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shd w:val="clear" w:fill="C1272D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3175"/>
            <w:shd w:val="clear" w:fill="C1272D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Como se calcula</w:t>
            </w:r>
          </w:p>
        </w:tc>
        <w:tc>
          <w:tcPr>
            <w:tcW w:type="dxa" w:w="4309"/>
            <w:shd w:val="clear" w:fill="C1272D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O que revela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Contas custeadas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clientes que de fato depositaram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A métrica real. Cadastro sem depósito é vaidade</w:t>
            </w:r>
          </w:p>
        </w:tc>
      </w:tr>
      <w:tr>
        <w:tc>
          <w:tcPr>
            <w:tcW w:type="dxa" w:w="2268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Patrimônio sob custódia</w:t>
            </w:r>
          </w:p>
        </w:tc>
        <w:tc>
          <w:tcPr>
            <w:tcW w:type="dxa" w:w="3175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soma dos ativos dos clientes</w:t>
            </w:r>
          </w:p>
        </w:tc>
        <w:tc>
          <w:tcPr>
            <w:tcW w:type="dxa" w:w="4309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Base de quase toda receita pós PFOF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Patrimônio por cliente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custódia ÷ contas custeadas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Se o cliente cobre o custo de servir</w:t>
            </w:r>
          </w:p>
        </w:tc>
      </w:tr>
      <w:tr>
        <w:tc>
          <w:tcPr>
            <w:tcW w:type="dxa" w:w="2268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Yield sobre patrimônio</w:t>
            </w:r>
          </w:p>
        </w:tc>
        <w:tc>
          <w:tcPr>
            <w:tcW w:type="dxa" w:w="3175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receita ÷ custódia</w:t>
            </w:r>
          </w:p>
        </w:tc>
        <w:tc>
          <w:tcPr>
            <w:tcW w:type="dxa" w:w="4309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Quanto se extrai de cada euro guardado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ARPU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receita ÷ clientes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Comparável direto com o CAC</w:t>
            </w:r>
          </w:p>
        </w:tc>
      </w:tr>
      <w:tr>
        <w:tc>
          <w:tcPr>
            <w:tcW w:type="dxa" w:w="2268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CAC</w:t>
            </w:r>
          </w:p>
        </w:tc>
        <w:tc>
          <w:tcPr>
            <w:tcW w:type="dxa" w:w="3175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gasto de aquisição ÷ novos clientes custeados</w:t>
            </w:r>
          </w:p>
        </w:tc>
        <w:tc>
          <w:tcPr>
            <w:tcW w:type="dxa" w:w="4309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Onde a maioria dos neobrokers se machuca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Payback do CAC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CAC ÷ ARPU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Tempo até o cliente se pagar</w:t>
            </w:r>
          </w:p>
        </w:tc>
      </w:tr>
      <w:tr>
        <w:tc>
          <w:tcPr>
            <w:tcW w:type="dxa" w:w="2268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Aportes recorrentes ativos</w:t>
            </w:r>
          </w:p>
        </w:tc>
        <w:tc>
          <w:tcPr>
            <w:tcW w:type="dxa" w:w="3175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clientes com aporte programado</w:t>
            </w:r>
          </w:p>
        </w:tc>
        <w:tc>
          <w:tcPr>
            <w:tcW w:type="dxa" w:w="4309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O maior motor de retenção do setor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Aporte líquido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depósitos menos retiradas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Saúde real do crescimento</w:t>
            </w:r>
          </w:p>
        </w:tc>
      </w:tr>
      <w:tr>
        <w:tc>
          <w:tcPr>
            <w:tcW w:type="dxa" w:w="2268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Taxa de inatividade</w:t>
            </w:r>
          </w:p>
        </w:tc>
        <w:tc>
          <w:tcPr>
            <w:tcW w:type="dxa" w:w="3175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clientes sem operar nem aportar</w:t>
            </w:r>
          </w:p>
        </w:tc>
        <w:tc>
          <w:tcPr>
            <w:tcW w:type="dxa" w:w="4309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Churn silencioso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Custo de servir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custo operacional ÷ clientes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Ganho de escala</w:t>
            </w:r>
          </w:p>
        </w:tc>
      </w:tr>
    </w:tbl>
    <w:p>
      <w:pPr>
        <w:spacing w:after="20"/>
      </w:pPr>
    </w:p>
    <w:p>
      <w:pPr>
        <w:spacing w:before="220" w:after="80"/>
        <w:pBdr>
          <w:bottom w:val="single" w:sz="6" w:color="C1272D"/>
        </w:pBdr>
      </w:pPr>
      <w:r>
        <w:rPr>
          <w:b/>
          <w:color w:val="C1272D"/>
          <w:sz w:val="24"/>
        </w:rPr>
        <w:t>4. Benchmarks públicos, para calibrar estimativa</w:t>
      </w:r>
    </w:p>
    <w:p>
      <w:pPr>
        <w:pStyle w:val="ListBullet"/>
        <w:spacing w:after="40"/>
      </w:pPr>
      <w:r>
        <w:rPr>
          <w:b/>
          <w:color w:val="1E293B"/>
          <w:sz w:val="20"/>
        </w:rPr>
        <w:t xml:space="preserve">Trade Republic: </w:t>
      </w:r>
      <w:r>
        <w:rPr>
          <w:color w:val="1E293B"/>
          <w:sz w:val="20"/>
        </w:rPr>
        <w:t>mais de 10 milhões de clientes e mais de 150 bilhões de euros na Europa, cerca de 15 mil euros por cliente. Avaliada em 12,5 bilhões de euros em dezembro de 2025.</w:t>
      </w:r>
    </w:p>
    <w:p>
      <w:pPr>
        <w:pStyle w:val="ListBullet"/>
        <w:spacing w:after="40"/>
      </w:pPr>
      <w:r>
        <w:rPr>
          <w:b/>
          <w:color w:val="1E293B"/>
          <w:sz w:val="20"/>
        </w:rPr>
        <w:t xml:space="preserve">Scalable Capital: </w:t>
      </w:r>
      <w:r>
        <w:rPr>
          <w:color w:val="1E293B"/>
          <w:sz w:val="20"/>
        </w:rPr>
        <w:t>mais de 1 milhão de clientes e mais de 60 bilhões de euros até agosto de 2026, cerca de 60 mil euros por cliente, perfil bem mais patrimonializado.</w:t>
      </w:r>
    </w:p>
    <w:p>
      <w:pPr>
        <w:pStyle w:val="ListBullet"/>
        <w:spacing w:after="40"/>
      </w:pPr>
      <w:r>
        <w:rPr>
          <w:b/>
          <w:color w:val="1E293B"/>
          <w:sz w:val="20"/>
        </w:rPr>
        <w:t xml:space="preserve">Brokerage alemão: </w:t>
      </w:r>
      <w:r>
        <w:rPr>
          <w:color w:val="1E293B"/>
          <w:sz w:val="20"/>
        </w:rPr>
        <w:t>cerca de 2 bilhões de euros de receita por ano com cerca de 7 milhões de investidores autodirigidos, aproximadamente 286 euros por investidor por ano.</w:t>
      </w:r>
    </w:p>
    <w:p>
      <w:pPr>
        <w:pStyle w:val="ListBullet"/>
        <w:spacing w:after="40"/>
      </w:pPr>
      <w:r>
        <w:rPr>
          <w:b/>
          <w:color w:val="1E293B"/>
          <w:sz w:val="20"/>
        </w:rPr>
        <w:t xml:space="preserve">Juros sobre saldo: </w:t>
      </w:r>
      <w:r>
        <w:rPr>
          <w:color w:val="1E293B"/>
          <w:sz w:val="20"/>
        </w:rPr>
        <w:t>os dois maiores remuneram caixa parado entre 2,6% e 3,0% ao ano. Juro sobre saldo virou ferramenta de aquisição, não só linha de receita.</w:t>
      </w:r>
    </w:p>
    <w:p>
      <w:pPr>
        <w:spacing w:after="100"/>
      </w:pPr>
      <w:r>
        <w:rPr>
          <w:b w:val="0"/>
          <w:i/>
          <w:color w:val="475569"/>
          <w:sz w:val="18"/>
        </w:rPr>
        <w:t>Use isso para checar sanidade. Patrimônio por cliente muito acima de 15 mil euros para público iniciante provavelmente está otimista.</w:t>
      </w:r>
    </w:p>
    <w:p>
      <w:pPr>
        <w:spacing w:before="220" w:after="80"/>
        <w:pBdr>
          <w:bottom w:val="single" w:sz="6" w:color="C1272D"/>
        </w:pBdr>
      </w:pPr>
      <w:r>
        <w:rPr>
          <w:b/>
          <w:color w:val="C1272D"/>
          <w:sz w:val="24"/>
        </w:rPr>
        <w:t>5. O recorte de gênero, que é o miolo deste case</w:t>
      </w:r>
    </w:p>
    <w:p>
      <w:pPr>
        <w:pStyle w:val="ListBullet"/>
        <w:spacing w:after="40"/>
      </w:pPr>
      <w:r>
        <w:rPr>
          <w:color w:val="1E293B"/>
          <w:sz w:val="20"/>
        </w:rPr>
        <w:t>Estudo da Universidade de Mannheim mede um gender investment gap de 14,6 pontos percentuais na Alemanha.</w:t>
      </w:r>
    </w:p>
    <w:p>
      <w:pPr>
        <w:pStyle w:val="ListBullet"/>
        <w:spacing w:after="40"/>
      </w:pPr>
      <w:r>
        <w:rPr>
          <w:color w:val="1E293B"/>
          <w:sz w:val="20"/>
        </w:rPr>
        <w:t>Pesquisa do ING de 2024 aponta 18% das mulheres investindo com regularidade contra 31% dos homens. Levantamento do DWS no mesmo ano indica cerca de 30% das mulheres investindo ativamente na Alemanha.</w:t>
      </w:r>
    </w:p>
    <w:p>
      <w:pPr>
        <w:pStyle w:val="ListBullet"/>
        <w:spacing w:after="40"/>
      </w:pPr>
      <w:r>
        <w:rPr>
          <w:color w:val="1E293B"/>
          <w:sz w:val="20"/>
        </w:rPr>
        <w:t>Pesquisa do N26 mostra preferência das investidoras por produtos bancários, como conta remunerada, citada por 37%.</w:t>
      </w:r>
    </w:p>
    <w:p>
      <w:pPr>
        <w:spacing w:after="100"/>
      </w:pPr>
      <w:r>
        <w:rPr>
          <w:b w:val="0"/>
          <w:i/>
          <w:color w:val="475569"/>
          <w:sz w:val="19"/>
        </w:rPr>
        <w:t>Cuidado com a leitura fácil. O gap existe e é grande, mas não vira receita automaticamente: público que prefere conta remunerada e aporta pouco gera patrimônio por cliente baixo, e patrimônio baixo é justamente o que quebra a conta de um neobroker. O case está aí.</w:t>
      </w:r>
    </w:p>
    <w:p>
      <w:pPr>
        <w:spacing w:before="220" w:after="80"/>
        <w:pBdr>
          <w:bottom w:val="single" w:sz="6" w:color="C1272D"/>
        </w:pBdr>
      </w:pPr>
      <w:r>
        <w:rPr>
          <w:b/>
          <w:color w:val="C1272D"/>
          <w:sz w:val="24"/>
        </w:rPr>
        <w:t>6. Alavancas de valor</w:t>
      </w:r>
    </w:p>
    <w:p>
      <w:pPr>
        <w:pStyle w:val="ListBullet"/>
        <w:spacing w:after="40"/>
      </w:pPr>
      <w:r>
        <w:rPr>
          <w:b/>
          <w:color w:val="1E293B"/>
          <w:sz w:val="20"/>
        </w:rPr>
        <w:t xml:space="preserve">Subir patrimônio por cliente: </w:t>
      </w:r>
      <w:r>
        <w:rPr>
          <w:color w:val="1E293B"/>
          <w:sz w:val="20"/>
        </w:rPr>
        <w:t>mix de produto, transferência de custódia de outra corretora, aporte recorrente.</w:t>
      </w:r>
    </w:p>
    <w:p>
      <w:pPr>
        <w:pStyle w:val="ListBullet"/>
        <w:spacing w:after="40"/>
      </w:pPr>
      <w:r>
        <w:rPr>
          <w:b/>
          <w:color w:val="1E293B"/>
          <w:sz w:val="20"/>
        </w:rPr>
        <w:t xml:space="preserve">Subir o yield: </w:t>
      </w:r>
      <w:r>
        <w:rPr>
          <w:color w:val="1E293B"/>
          <w:sz w:val="20"/>
        </w:rPr>
        <w:t>assinatura, aluguel de ativos, juros sobre caixa.</w:t>
      </w:r>
    </w:p>
    <w:p>
      <w:pPr>
        <w:pStyle w:val="ListBullet"/>
        <w:spacing w:after="40"/>
      </w:pPr>
      <w:r>
        <w:rPr>
          <w:b/>
          <w:color w:val="1E293B"/>
          <w:sz w:val="20"/>
        </w:rPr>
        <w:t xml:space="preserve">Baixar o CAC: </w:t>
      </w:r>
      <w:r>
        <w:rPr>
          <w:color w:val="1E293B"/>
          <w:sz w:val="20"/>
        </w:rPr>
        <w:t>comunidade, conteúdo, indicação e parceria em vez de mídia paga.</w:t>
      </w:r>
    </w:p>
    <w:p>
      <w:pPr>
        <w:pStyle w:val="ListBullet"/>
        <w:spacing w:after="40"/>
      </w:pPr>
      <w:r>
        <w:rPr>
          <w:b/>
          <w:color w:val="1E293B"/>
          <w:sz w:val="20"/>
        </w:rPr>
        <w:t xml:space="preserve">Baixar o churn: </w:t>
      </w:r>
      <w:r>
        <w:rPr>
          <w:color w:val="1E293B"/>
          <w:sz w:val="20"/>
        </w:rPr>
        <w:t>aporte automático é o que mais segura cliente no setor.</w:t>
      </w:r>
    </w:p>
    <w:p>
      <w:pPr>
        <w:pStyle w:val="ListBullet"/>
        <w:spacing w:after="40"/>
      </w:pPr>
      <w:r>
        <w:rPr>
          <w:b/>
          <w:color w:val="1E293B"/>
          <w:sz w:val="20"/>
        </w:rPr>
        <w:t xml:space="preserve">Diluir o custo fixo: </w:t>
      </w:r>
      <w:r>
        <w:rPr>
          <w:color w:val="1E293B"/>
          <w:sz w:val="20"/>
        </w:rPr>
        <w:t>licença, compliance e custódia são fixos altos e só se diluem com volume.</w:t>
      </w:r>
    </w:p>
    <w:p>
      <w:pPr>
        <w:spacing w:before="220" w:after="80"/>
        <w:pBdr>
          <w:bottom w:val="single" w:sz="6" w:color="C1272D"/>
        </w:pBdr>
      </w:pPr>
      <w:r>
        <w:rPr>
          <w:b/>
          <w:color w:val="C1272D"/>
          <w:sz w:val="24"/>
        </w:rPr>
        <w:t>7. Perguntas que sempre cabem em um case de neobroker</w:t>
      </w:r>
    </w:p>
    <w:p>
      <w:pPr>
        <w:pStyle w:val="ListBullet"/>
        <w:spacing w:after="40"/>
      </w:pPr>
      <w:r>
        <w:rPr>
          <w:color w:val="1E293B"/>
          <w:sz w:val="20"/>
        </w:rPr>
        <w:t>O crescimento vem de contas custeadas ou de cadastro que nunca depositou?</w:t>
      </w:r>
    </w:p>
    <w:p>
      <w:pPr>
        <w:pStyle w:val="ListBullet"/>
        <w:spacing w:after="40"/>
      </w:pPr>
      <w:r>
        <w:rPr>
          <w:color w:val="1E293B"/>
          <w:sz w:val="20"/>
        </w:rPr>
        <w:t>Qual o patrimônio por cliente e ele cobre o custo de servir?</w:t>
      </w:r>
    </w:p>
    <w:p>
      <w:pPr>
        <w:pStyle w:val="ListBullet"/>
        <w:spacing w:after="40"/>
      </w:pPr>
      <w:r>
        <w:rPr>
          <w:color w:val="1E293B"/>
          <w:sz w:val="20"/>
        </w:rPr>
        <w:t>Qual o payback do CAC e ele sobrevive ao churn do primeiro ano?</w:t>
      </w:r>
    </w:p>
    <w:p>
      <w:pPr>
        <w:pStyle w:val="ListBullet"/>
        <w:spacing w:after="40"/>
      </w:pPr>
      <w:r>
        <w:rPr>
          <w:color w:val="1E293B"/>
          <w:sz w:val="20"/>
        </w:rPr>
        <w:t>De onde vem a receita agora que o PFOF está proibido, e essa linha é defensável?</w:t>
      </w:r>
    </w:p>
    <w:p>
      <w:pPr>
        <w:pStyle w:val="ListBullet"/>
        <w:spacing w:after="40"/>
      </w:pPr>
      <w:r>
        <w:rPr>
          <w:color w:val="1E293B"/>
          <w:sz w:val="20"/>
        </w:rPr>
        <w:t>Quantos clientes são necessários apenas para cobrir o custo fixo?</w:t>
      </w:r>
    </w:p>
    <w:p>
      <w:pPr>
        <w:pStyle w:val="ListBullet"/>
        <w:spacing w:after="40"/>
      </w:pPr>
      <w:r>
        <w:rPr>
          <w:color w:val="1E293B"/>
          <w:sz w:val="20"/>
        </w:rPr>
        <w:t>O nicho é grande o suficiente ou a conta só fecha com um segundo público?</w:t>
      </w:r>
    </w:p>
    <w:p>
      <w:pPr>
        <w:pStyle w:val="ListBullet"/>
        <w:spacing w:after="40"/>
      </w:pPr>
      <w:r>
        <w:rPr>
          <w:color w:val="1E293B"/>
          <w:sz w:val="20"/>
        </w:rPr>
        <w:t>O que impede o incumbente de copiar a proposta em três meses?</w:t>
      </w:r>
    </w:p>
    <w:p>
      <w:pPr>
        <w:spacing w:before="220" w:after="80"/>
        <w:pBdr>
          <w:bottom w:val="single" w:sz="6" w:color="C1272D"/>
        </w:pBdr>
      </w:pPr>
      <w:r>
        <w:rPr>
          <w:b/>
          <w:color w:val="C1272D"/>
          <w:sz w:val="24"/>
        </w:rPr>
        <w:t>8. Armadilhas que derrubam a análise</w:t>
      </w:r>
    </w:p>
    <w:p>
      <w:pPr>
        <w:pStyle w:val="ListBullet"/>
        <w:spacing w:after="40"/>
      </w:pPr>
      <w:r>
        <w:rPr>
          <w:color w:val="1E293B"/>
          <w:sz w:val="20"/>
        </w:rPr>
        <w:t>Confundir tamanho de população com mercado endereçável.</w:t>
      </w:r>
    </w:p>
    <w:p>
      <w:pPr>
        <w:pStyle w:val="ListBullet"/>
        <w:spacing w:after="40"/>
      </w:pPr>
      <w:r>
        <w:rPr>
          <w:color w:val="1E293B"/>
          <w:sz w:val="20"/>
        </w:rPr>
        <w:t>Dimensionar o mercado e parar ali, sem transformar em receita.</w:t>
      </w:r>
    </w:p>
    <w:p>
      <w:pPr>
        <w:pStyle w:val="ListBullet"/>
        <w:spacing w:after="40"/>
      </w:pPr>
      <w:r>
        <w:rPr>
          <w:color w:val="1E293B"/>
          <w:sz w:val="20"/>
        </w:rPr>
        <w:t>Assumir que o nicho justifica CAC alto. Nicho reduz concorrência de mensagem, mas também reduz a base que dilui o fixo.</w:t>
      </w:r>
    </w:p>
    <w:p>
      <w:pPr>
        <w:pStyle w:val="ListBullet"/>
        <w:spacing w:after="40"/>
      </w:pPr>
      <w:r>
        <w:rPr>
          <w:color w:val="1E293B"/>
          <w:sz w:val="20"/>
        </w:rPr>
        <w:t>Construir receita sobre PFOF, proibido desde julho de 2026.</w:t>
      </w:r>
    </w:p>
    <w:p>
      <w:pPr>
        <w:pStyle w:val="ListBullet"/>
        <w:spacing w:after="40"/>
      </w:pPr>
      <w:r>
        <w:rPr>
          <w:color w:val="1E293B"/>
          <w:sz w:val="20"/>
        </w:rPr>
        <w:t>Tratar juro sobre caixa como receita estável. Depende da taxa básica e cai quando o ciclo vira.</w:t>
      </w:r>
    </w:p>
    <w:p>
      <w:pPr>
        <w:pStyle w:val="ListBullet"/>
        <w:spacing w:after="40"/>
      </w:pPr>
      <w:r>
        <w:rPr>
          <w:color w:val="1E293B"/>
          <w:sz w:val="20"/>
        </w:rPr>
        <w:t>Esquecer o custo regulatório fixo, que existe no dia um, com ou sem cliente.</w:t>
      </w:r>
    </w:p>
    <w:p>
      <w:pPr>
        <w:pStyle w:val="ListBullet"/>
        <w:spacing w:after="40"/>
      </w:pPr>
      <w:r>
        <w:rPr>
          <w:color w:val="1E293B"/>
          <w:sz w:val="20"/>
        </w:rPr>
        <w:t>Somar cadastro e conta custeada na mesma métrica.</w:t>
      </w:r>
    </w:p>
    <w:p>
      <w:pPr>
        <w:spacing w:before="220" w:after="80"/>
        <w:pBdr>
          <w:bottom w:val="single" w:sz="6" w:color="C1272D"/>
        </w:pBdr>
      </w:pPr>
      <w:r>
        <w:rPr>
          <w:b/>
          <w:color w:val="C1272D"/>
          <w:sz w:val="24"/>
        </w:rPr>
        <w:t>9. Fórmulas para ter na ponta do lápis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515"/>
            <w:shd w:val="clear" w:fill="C1272D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Conta</w:t>
            </w:r>
          </w:p>
        </w:tc>
        <w:tc>
          <w:tcPr>
            <w:tcW w:type="dxa" w:w="6236"/>
            <w:shd w:val="clear" w:fill="C1272D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Fórmula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>
              <w:rPr>
                <w:b/>
                <w:color w:val="1E293B"/>
                <w:sz w:val="17"/>
              </w:rPr>
              <w:t>Receita anual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clientes custeados × patrimônio médio × yield sobre patrimônio</w:t>
            </w:r>
          </w:p>
        </w:tc>
      </w:tr>
      <w:tr>
        <w:tc>
          <w:tcPr>
            <w:tcW w:type="dxa" w:w="3515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ARPU</w:t>
            </w:r>
          </w:p>
        </w:tc>
        <w:tc>
          <w:tcPr>
            <w:tcW w:type="dxa" w:w="6236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patrimônio médio por cliente × yield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Mercado endereçável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população filtrada por idade, renda e comportamento</w:t>
            </w:r>
          </w:p>
        </w:tc>
      </w:tr>
      <w:tr>
        <w:tc>
          <w:tcPr>
            <w:tcW w:type="dxa" w:w="3515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7"/>
              </w:rPr>
              <w:t>SOM</w:t>
            </w:r>
          </w:p>
        </w:tc>
        <w:tc>
          <w:tcPr>
            <w:tcW w:type="dxa" w:w="6236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mercado endereçável × penetração-alvo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>
              <w:rPr>
                <w:b/>
                <w:color w:val="1E293B"/>
                <w:sz w:val="17"/>
              </w:rPr>
              <w:t>Ponto de equilíbrio em clientes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custo fixo ÷ ARPU</w:t>
            </w:r>
          </w:p>
        </w:tc>
      </w:tr>
      <w:tr>
        <w:tc>
          <w:tcPr>
            <w:tcW w:type="dxa" w:w="3515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7"/>
              </w:rPr>
              <w:t>Ponto de equilíbrio em ARPU</w:t>
            </w:r>
          </w:p>
        </w:tc>
        <w:tc>
          <w:tcPr>
            <w:tcW w:type="dxa" w:w="6236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custo fixo ÷ número de clientes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Patrimônio implícito no equilíbrio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ARPU de equilíbrio ÷ yield</w:t>
            </w:r>
          </w:p>
        </w:tc>
      </w:tr>
      <w:tr>
        <w:tc>
          <w:tcPr>
            <w:tcW w:type="dxa" w:w="3515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Payback do CAC</w:t>
            </w:r>
          </w:p>
        </w:tc>
        <w:tc>
          <w:tcPr>
            <w:tcW w:type="dxa" w:w="6236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CAC ÷ ARPU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Razão LTV sobre CAC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(ARPU × margem × anos de permanência) ÷ CAC</w:t>
            </w:r>
          </w:p>
        </w:tc>
      </w:tr>
    </w:tbl>
    <w:p>
      <w:pPr>
        <w:spacing w:after="20"/>
      </w:pPr>
    </w:p>
    <w:p>
      <w:pPr>
        <w:spacing w:before="220" w:after="80"/>
        <w:pBdr>
          <w:bottom w:val="single" w:sz="6" w:color="C1272D"/>
        </w:pBdr>
      </w:pPr>
      <w:r>
        <w:rPr>
          <w:b/>
          <w:color w:val="C1272D"/>
          <w:sz w:val="24"/>
        </w:rPr>
        <w:t>10. Fontes e onde buscar mais</w:t>
      </w:r>
    </w:p>
    <w:p>
      <w:pPr>
        <w:spacing w:after="100"/>
      </w:pPr>
      <w:r>
        <w:rPr>
          <w:b w:val="0"/>
          <w:i w:val="0"/>
          <w:color w:val="475569"/>
          <w:sz w:val="18"/>
        </w:rPr>
        <w:t>Trade Republic e Scalable Capital: noticiário setorial de 2025 e 2026 e página pública da Scalable. PFOF: artigo 39a do MiFIR, comunicado da BaFin de julho de 2026 e análises jurídicas sobre o fim da transição alemã. Receita do setor e investidores autodirigidos: Börsen-Zeitung. Gender investment gap: estudo da Universidade de Mannheim e pesquisas ING, DWS e N26. Previdência: material do Germany Trade and Invest sobre a reforma de 2027.</w:t>
      </w:r>
    </w:p>
    <w:p>
      <w:pPr>
        <w:spacing w:after="100"/>
      </w:pPr>
      <w:r>
        <w:rPr>
          <w:b w:val="0"/>
          <w:i w:val="0"/>
          <w:color w:val="475569"/>
          <w:sz w:val="18"/>
        </w:rPr>
        <w:t>Para ir além: BaFin, Deutsches Aktieninstitut, relatórios do Bundesbank sobre patrimônio das famílias e comunicados das próprias corretoras.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964" w:bottom="73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75569"/>
        <w:sz w:val="16"/>
      </w:rPr>
      <w:t>Clube de Consultoria Universitário  ·  Diretoria de Gestão de Pessoas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978" w:val="right"/>
      </w:tabs>
    </w:pPr>
    <w:r>
      <w:drawing>
        <wp:inline xmlns:a="http://schemas.openxmlformats.org/drawingml/2006/main" xmlns:pic="http://schemas.openxmlformats.org/drawingml/2006/picture">
          <wp:extent cx="792000" cy="38001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ccu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2000" cy="38001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C1272D"/>
        <w:sz w:val="18"/>
      </w:rPr>
      <w:tab/>
      <w:t>Imersão setorial  ·  Ciclo de cases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