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5F52"/>
          <w:sz w:val="17"/>
          <w:szCs w:val="17"/>
        </w:rPr>
        <w:t xml:space="preserve">RELATÓRIO DE CONSULTORIA · DESAFIO CCU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B1C1E"/>
          <w:sz w:val="40"/>
          <w:szCs w:val="40"/>
        </w:rPr>
        <w:t xml:space="preserve">Lançamento da BagHub: escolha de bairro e modelo operacional</w:t>
      </w:r>
    </w:p>
    <w:p>
      <w:pPr>
        <w:pBdr>
          <w:bottom w:val="single" w:color="1B1C1E" w:sz="12" w:space="10"/>
        </w:pBdr>
        <w:spacing w:after="300"/>
      </w:pPr>
      <w:r>
        <w:rPr>
          <w:rFonts w:ascii="Calibri" w:cs="Calibri" w:eastAsia="Calibri" w:hAnsi="Calibri"/>
          <w:color w:val="4A4E55"/>
          <w:sz w:val="21"/>
          <w:szCs w:val="21"/>
        </w:rPr>
        <w:t xml:space="preserve">Avaliação de quatro bairros candidatos — Estação Central, Centro Histórico, Arena e Noite Alta — quanto a atratividade de demanda, capacidade necessária e rentabilidade anual, com recomendação de formato operacional para cada praça.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1. Sumário executivo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O público-alvo da operação é composto por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turistas, passageiros em conexão e visitantes de eventos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, e o critério prioritário definido para a decisão é a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máxima rentabilidade anual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Considerando exclusivamente a rentabilidade anual, a ordem de prioridade dos bairros é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Estação Central &gt; Centro Histórico &gt; Noite Alta &gt; Arena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, e o modelo operacional vencedor em todas as praças seria o de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pontos parceiros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 (Tipo B), por apresentar os menores custos anuais.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Essa leitura puramente financeira, porém, desconsidera fatores externos que podem afetar a qualidade do serviço prestado, a segurança do consumidor, os horários de funcionamento dos pontos parceiros e outros riscos de complexidade operacional e logística. A recomendação final deste relatório ajusta o modelo por praça a partir desses riscos.</w:t>
      </w:r>
    </w:p>
    <w:p>
      <w:pPr>
        <w:spacing w:after="160"/>
      </w:pP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Bairro prioritário</w:t>
            </w:r>
          </w:p>
        </w:tc>
        <w:tc>
          <w:tcPr>
            <w:tcW w:type="dxa" w:w="3009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total (recomendado)</w:t>
            </w:r>
          </w:p>
        </w:tc>
        <w:tc>
          <w:tcPr>
            <w:tcW w:type="dxa" w:w="3009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Cenário de rentabilidade máxima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Estação Central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R$ 83.090.000</w:t>
            </w:r>
          </w:p>
        </w:tc>
        <w:tc>
          <w:tcPr>
            <w:tcW w:type="dxa" w:w="30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R$ 86.480.000</w:t>
            </w:r>
          </w:p>
        </w:tc>
      </w:tr>
    </w:tbl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2. Comparação de bairros: critérios de atratividade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A premissa de partida é maximizar o rendimento de custo-benefício, priorizando bairros de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alta circulação e baixa complexidade operacional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 O quadro abaixo sintetiza como os bairros estão distribuídos segundo demanda, complexidade operacional e taxa de utilização.</w:t>
      </w:r>
    </w:p>
    <w:p>
      <w:pPr>
        <w:spacing w:after="160"/>
      </w:pP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2700"/>
        <w:gridCol w:w="2200"/>
        <w:gridCol w:w="2500"/>
        <w:gridCol w:w="1626"/>
      </w:tblGrid>
      <w:tr>
        <w:trPr>
          <w:cantSplit/>
          <w:tblHeader/>
        </w:trPr>
        <w:tc>
          <w:tcPr>
            <w:tcW w:type="dxa" w:w="27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Bairro</w:t>
            </w:r>
          </w:p>
        </w:tc>
        <w:tc>
          <w:tcPr>
            <w:tcW w:type="dxa" w:w="22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Demanda</w:t>
            </w:r>
          </w:p>
        </w:tc>
        <w:tc>
          <w:tcPr>
            <w:tcW w:type="dxa" w:w="25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Complexidade operacional</w:t>
            </w:r>
          </w:p>
        </w:tc>
        <w:tc>
          <w:tcPr>
            <w:tcW w:type="dxa" w:w="16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Utilização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Estação Central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Moderada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42%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Centro Histórico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Baixa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54%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Arena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Média para baixa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Moderada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31%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Noite Alta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Alta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33%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O Centro Histórico combina alta demanda com a menor complexidade operacional do conjunto e a maior taxa de utilização (54%, correspondente a mais da metade das horas da semana). A Estação Central lidera em volume, mas opera em complexidade moderada. Noite Alta soma alta demanda a alta complexidade. A Arena é a única praça de fluxo médio para baixo e com a menor utilização (31%).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3. Análise de demanda e capacidade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Todas as praças operam com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cobrança única de R$ 30 por transação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 A capacidade é dimensionada em posições, agrupadas em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bancos de 40 posições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</w:t>
      </w:r>
    </w:p>
    <w:p>
      <w:pPr>
        <w:spacing w:after="160"/>
      </w:pP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1900"/>
        <w:gridCol w:w="1500"/>
        <w:gridCol w:w="1500"/>
        <w:gridCol w:w="1700"/>
        <w:gridCol w:w="1300"/>
        <w:gridCol w:w="1126"/>
      </w:tblGrid>
      <w:tr>
        <w:trPr>
          <w:cantSplit/>
          <w:tblHeader/>
        </w:trPr>
        <w:tc>
          <w:tcPr>
            <w:tcW w:type="dxa" w:w="19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Bairro</w:t>
            </w:r>
          </w:p>
        </w:tc>
        <w:tc>
          <w:tcPr>
            <w:tcW w:type="dxa" w:w="15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Transações/ semana</w:t>
            </w:r>
          </w:p>
        </w:tc>
        <w:tc>
          <w:tcPr>
            <w:tcW w:type="dxa" w:w="15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Receita semanal</w:t>
            </w:r>
          </w:p>
        </w:tc>
        <w:tc>
          <w:tcPr>
            <w:tcW w:type="dxa" w:w="17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Receita anual</w:t>
            </w:r>
          </w:p>
        </w:tc>
        <w:tc>
          <w:tcPr>
            <w:tcW w:type="dxa" w:w="13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Posições</w:t>
            </w:r>
          </w:p>
        </w:tc>
        <w:tc>
          <w:tcPr>
            <w:tcW w:type="dxa" w:w="11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Bancos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Estação Central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24.000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R$ 720.000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R$ 36.000.000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2.400</w:t>
            </w:r>
          </w:p>
        </w:tc>
        <w:tc>
          <w:tcPr>
            <w:tcW w:type="dxa" w:w="1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Centro Histórico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18.000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R$ 540.000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R$ 27.000.000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1.000</w:t>
            </w:r>
          </w:p>
        </w:tc>
        <w:tc>
          <w:tcPr>
            <w:tcW w:type="dxa" w:w="1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Arena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12.000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R$ 360.000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R$ 18.000.000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900</w:t>
            </w:r>
          </w:p>
        </w:tc>
        <w:tc>
          <w:tcPr>
            <w:tcW w:type="dxa" w:w="1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~23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Noite Alta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20.000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R$ 600.000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R$ 30.000.000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1.800</w:t>
            </w:r>
          </w:p>
        </w:tc>
        <w:tc>
          <w:tcPr>
            <w:tcW w:type="dxa" w:w="1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45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A Estação Central concentra o maior volume de transações e também a maior necessidade de capacidade instalada (2.400 posições, 60 bancos). O Centro Histórico é o caso mais eficiente em capacidade: 18.000 transações semanais sustentadas por apenas 1.000 posições. Noite Alta exige 1.800 posições para 20.000 transações, e a Arena, 900 posições para 12.000 transações.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4. Rentabilidade: comparação dos dois modelos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Os dois modelos avaliados são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(A) armários inteligentes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(B) pontos parceiros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 A diferença estrutural entre eles está em duas linhas de custo: o investimento em bancos de 40 posições, presente apenas no modelo A, e o custo de operação por posição, mais alto no modelo B em todas as faixas de complexidade. O custo de equipamento, seguro e manutenção (R$ 1.400 por posição) é idêntico nos dois modelos.</w:t>
      </w: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4.1 Estação Central — receita anual de R$ 36.000.000</w:t>
      </w: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4226"/>
        <w:gridCol w:w="2400"/>
        <w:gridCol w:w="2400"/>
      </w:tblGrid>
      <w:tr>
        <w:trPr>
          <w:cantSplit/>
          <w:tblHeader/>
        </w:trPr>
        <w:tc>
          <w:tcPr>
            <w:tcW w:type="dxa" w:w="42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Categoria de custo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A · Armários inteligentes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 · Pontos parceiros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Equipamento, seguro e manutenção por posição (R$ 1.400 × 2.400)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R$ 3.360.000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R$ 3.360.000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Bancos de 40 posições (R$ 70.000 × 60)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R$ 4.200.000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isento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Operação por posição — complexidade moderada (A: R$ 1.400 · B: R$ 2.000, × 2.400)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R$ 3.360.000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R$ 4.800.000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anual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R$ 25.080.000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R$ 27.840.000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4.2 Centro Histórico — receita anual de R$ 27.000.000</w:t>
      </w: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4226"/>
        <w:gridCol w:w="2400"/>
        <w:gridCol w:w="2400"/>
      </w:tblGrid>
      <w:tr>
        <w:trPr>
          <w:cantSplit/>
          <w:tblHeader/>
        </w:trPr>
        <w:tc>
          <w:tcPr>
            <w:tcW w:type="dxa" w:w="42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Categoria de custo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A · Armários inteligentes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 · Pontos parceiros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Equipamento, seguro e manutenção por posição (R$ 1.400 × 1.000)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R$ 1.400.000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R$ 1.400.000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Bancos de 40 posições (R$ 70.000 × 25)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R$ 1.750.000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isento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Operação por posição — complexidade baixa (A: R$ 700 · B: R$ 1.100, × 1.000)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R$ 700.000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R$ 1.100.000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anual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R$ 23.150.000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R$ 24.500.000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4.3 Arena — receita anual de R$ 18.000.000</w:t>
      </w: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4226"/>
        <w:gridCol w:w="2400"/>
        <w:gridCol w:w="2400"/>
      </w:tblGrid>
      <w:tr>
        <w:trPr>
          <w:cantSplit/>
          <w:tblHeader/>
        </w:trPr>
        <w:tc>
          <w:tcPr>
            <w:tcW w:type="dxa" w:w="42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Categoria de custo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A · Armários inteligentes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 · Pontos parceiros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Equipamento, seguro e manutenção por posição (R$ 1.400 × 900)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R$ 1.260.000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R$ 1.260.000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Bancos de 40 posições (R$ 70.000 × 23)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R$ 1.610.000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isento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Operação por posição — complexidade moderada (A: R$ 1.400 · B: R$ 2.000, × 900)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R$ 1.260.000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R$ 1.800.000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anual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R$ 13.870.000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R$ 14.940.000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4.4 Noite Alta — receita anual de R$ 30.000.000</w:t>
      </w: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4226"/>
        <w:gridCol w:w="2400"/>
        <w:gridCol w:w="2400"/>
      </w:tblGrid>
      <w:tr>
        <w:trPr>
          <w:cantSplit/>
          <w:tblHeader/>
        </w:trPr>
        <w:tc>
          <w:tcPr>
            <w:tcW w:type="dxa" w:w="42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Categoria de custo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A · Armários inteligentes</w:t>
            </w:r>
          </w:p>
        </w:tc>
        <w:tc>
          <w:tcPr>
            <w:tcW w:type="dxa" w:w="24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 · Pontos parceiros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Equipamento, seguro e manutenção por posição (R$ 1.400 × 1.800)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R$ 2.520.000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R$ 2.520.000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Bancos de 40 posições (R$ 70.000 × 45)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R$ 3.150.000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isento</w:t>
            </w:r>
          </w:p>
        </w:tc>
      </w:tr>
      <w:tr>
        <w:trPr>
          <w:cantSplit/>
          <w:tblHeader w:val="false"/>
        </w:trP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Operação por posição — complexidade alta (A: R$ 3.200 · B: R$ 4.600, × 1.800)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R$ 5.760.000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R$ 8.280.000</w:t>
            </w:r>
          </w:p>
        </w:tc>
      </w:tr>
      <w:tr>
        <w:trPr>
          <w:cantSplit/>
          <w:tblHeader w:val="false"/>
        </w:trPr>
        <w:tc>
          <w:tcPr>
            <w:tcW w:type="dxa" w:w="4226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anual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R$ 18.570.000</w:t>
            </w:r>
          </w:p>
        </w:tc>
        <w:tc>
          <w:tcPr>
            <w:tcW w:type="dxa" w:w="24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R$ 19.200.000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4.5 Consolidado dos dois modelos</w:t>
      </w: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2426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24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Bairro</w:t>
            </w:r>
          </w:p>
        </w:tc>
        <w:tc>
          <w:tcPr>
            <w:tcW w:type="dxa" w:w="22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Receita anual</w:t>
            </w:r>
          </w:p>
        </w:tc>
        <w:tc>
          <w:tcPr>
            <w:tcW w:type="dxa" w:w="22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A</w:t>
            </w:r>
          </w:p>
        </w:tc>
        <w:tc>
          <w:tcPr>
            <w:tcW w:type="dxa" w:w="22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B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Estação Central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R$ 36.000.000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R$ 25.080.000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5F52"/>
                <w:sz w:val="19"/>
                <w:szCs w:val="19"/>
              </w:rPr>
              <w:t xml:space="preserve">R$ 27.840.000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Centro Histórico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R$ 27.000.000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R$ 23.150.000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5F52"/>
                <w:sz w:val="19"/>
                <w:szCs w:val="19"/>
              </w:rPr>
              <w:t xml:space="preserve">R$ 24.500.000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Noite Alta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R$ 30.000.000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R$ 18.570.000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5F52"/>
                <w:sz w:val="19"/>
                <w:szCs w:val="19"/>
              </w:rPr>
              <w:t xml:space="preserve">R$ 19.200.000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Arena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R$ 18.000.000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R$ 13.870.000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5F52"/>
                <w:sz w:val="19"/>
                <w:szCs w:val="19"/>
              </w:rPr>
              <w:t xml:space="preserve">R$ 14.940.000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Em todas as quatro praças o modelo de pontos parceiros entrega o maior resultado operacional: a isenção do custo de bancos supera o acréscimo do custo de operação por posição.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5. Riscos e fatores não capturados pelo cálculo</w:t>
      </w: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Estação Central — alta demanda, complexidade moderada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A escolha por pontos parceiros em vez dos armários inteligentes poderia levantar as seguintes complicações futuras: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Incapacidade de pontos de comércio local ou superlotação dos já existentes — atrasos no embarque e desembarque dos passageiros para o armazenamento e a retirada dos itens.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Horários de funcionamento — os pontos parceiros funcionam em horários variáveis, considerando uma estação que funcione 24 horas.</w:t>
      </w: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Centro Histórico — alta demanda, baixa complexidade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A utilização de 54% — que corresponde a mais da metade das horas da semana — e o comércio diurno são extremamente benéficos para a escolha do modelo de parceria de pontos.</w:t>
      </w: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Arena — alta demanda concentrada em um único ponto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Há alta demanda em um único ponto, o que traz um contraste com as demais áreas do bairro. O maior problema seria a dependência de um suporte 24 horas em períodos de eventos, o qual poderia ser resolvido com o modelo de armários; entretanto, por ser um bairro de fluxo médio para baixo, supõe-se que o comércio local já se anteciparia para receber mais pessoas em dias de convenções, em horários que correspondessem ao aumento desse fluxo.</w:t>
      </w:r>
    </w:p>
    <w:p>
      <w:pPr>
        <w:pStyle w:val="Heading2"/>
        <w:keepNext/>
        <w:spacing w:after="80" w:before="260"/>
      </w:pPr>
      <w:r>
        <w:rPr>
          <w:rFonts w:ascii="Calibri" w:cs="Calibri" w:eastAsia="Calibri" w:hAnsi="Calibri"/>
          <w:b/>
          <w:bCs/>
          <w:color w:val="1B1C1E"/>
          <w:sz w:val="23"/>
          <w:szCs w:val="23"/>
        </w:rPr>
        <w:t xml:space="preserve">Noite Alta — alta demanda, alta complexidade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Bares e casas de show. 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A embriaguez das pessoas pode ocasionar problemas de confusão de itens, perda de comprovantes de retirada e até perda dos itens pela malícia dos próprios comerciantes. Levantaria os questionamentos: "o item foi perdido antes ou depois do estado alcoólico do cliente?" e "o cliente levou o item consigo ou deixou no ponto comercial?".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6. Recomendação de lançamento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Diante dos cálculos e dos questionamentos citados, a ordem de preferência, com o modelo de negócio e o resultado operacional correspondentes, é:</w:t>
      </w:r>
    </w:p>
    <w:p>
      <w:pPr>
        <w:spacing w:after="160"/>
      </w:pPr>
    </w:p>
    <w:tbl>
      <w:tblPr>
        <w:tblW w:type="dxa" w:w="9026"/>
        <w:tblBorders>
          <w:top w:val="single" w:color="DCD7CD" w:sz="4"/>
          <w:left w:val="single" w:color="DCD7CD" w:sz="4"/>
          <w:bottom w:val="single" w:color="DCD7CD" w:sz="4"/>
          <w:right w:val="single" w:color="DCD7CD" w:sz="4"/>
          <w:insideH w:val="single" w:color="DCD7CD" w:sz="4"/>
          <w:insideV w:val="single" w:color="DCD7CD" w:sz="4"/>
        </w:tblBorders>
      </w:tblPr>
      <w:tblGrid>
        <w:gridCol w:w="700"/>
        <w:gridCol w:w="2700"/>
        <w:gridCol w:w="3000"/>
        <w:gridCol w:w="2626"/>
      </w:tblGrid>
      <w:tr>
        <w:trPr>
          <w:cantSplit/>
          <w:tblHeader/>
        </w:trPr>
        <w:tc>
          <w:tcPr>
            <w:tcW w:type="dxa" w:w="7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Bairro</w:t>
            </w:r>
          </w:p>
        </w:tc>
        <w:tc>
          <w:tcPr>
            <w:tcW w:type="dxa" w:w="3000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Modelo operacional</w:t>
            </w:r>
          </w:p>
        </w:tc>
        <w:tc>
          <w:tcPr>
            <w:tcW w:type="dxa" w:w="2626"/>
            <w:shd w:fill="E6EF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Resultado operacional anual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Estação Central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Armários inteligentes</w:t>
            </w:r>
          </w:p>
        </w:tc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R$ 25.080.000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Centro Histórico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Pontos parceiros</w:t>
            </w:r>
          </w:p>
        </w:tc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R$ 24.500.000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Noite Alta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Armários inteligentes</w:t>
            </w:r>
          </w:p>
        </w:tc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R$ 18.570.000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Arena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Pontos parceiros</w:t>
            </w:r>
          </w:p>
        </w:tc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B1C1E"/>
                <w:sz w:val="19"/>
                <w:szCs w:val="19"/>
              </w:rPr>
              <w:t xml:space="preserve">R$ 14.940.000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shd w:fill="F0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C1E"/>
                <w:sz w:val="19"/>
                <w:szCs w:val="19"/>
              </w:rPr>
              <w:t xml:space="preserve">R$ 83.090.000</w:t>
            </w:r>
          </w:p>
        </w:tc>
      </w:tr>
    </w:tbl>
    <w:p>
      <w:pPr>
        <w:spacing w:after="160"/>
      </w:pP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Bairro prioritário: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Estação Central, em formato de armários inteligentes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, com resultado operacional anual de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R$ 25.080.000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 É a praça de maior volume (24.000 transações por semana) e maior receita anual (R$ 36.000.000), e o formato de armários responde diretamente aos dois riscos identificados: a superlotação ou incapacidade do comércio local e a incompatibilidade entre os horários variáveis dos parceiros e uma estação que funciona 24 horas.</w:t>
      </w:r>
    </w:p>
    <w:p>
      <w:pPr>
        <w:pStyle w:val="Heading1"/>
        <w:pBdr>
          <w:bottom w:val="single" w:color="1F5F52" w:sz="6" w:space="6"/>
        </w:pBdr>
        <w:spacing w:after="60" w:before="380"/>
      </w:pPr>
      <w:r>
        <w:rPr>
          <w:rFonts w:ascii="Calibri" w:cs="Calibri" w:eastAsia="Calibri" w:hAnsi="Calibri"/>
          <w:b/>
          <w:bCs/>
          <w:color w:val="1F5F52"/>
          <w:sz w:val="28"/>
          <w:szCs w:val="28"/>
        </w:rPr>
        <w:t xml:space="preserve">7. Custo da decisão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B1C1E"/>
          <w:sz w:val="21"/>
          <w:szCs w:val="21"/>
        </w:rPr>
        <w:t xml:space="preserve">A carteira recomendada entrega um resultado operacional total de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R$ 83.090.000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, em comparação com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R$ 86.480.000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 no cenário que considerava apenas a rentabilidade máxima — uma diferença de </w:t>
      </w:r>
      <w:r>
        <w:rPr>
          <w:rFonts w:ascii="Calibri" w:cs="Calibri" w:eastAsia="Calibri" w:hAnsi="Calibri"/>
          <w:b/>
          <w:bCs/>
          <w:color w:val="1B1C1E"/>
          <w:sz w:val="21"/>
          <w:szCs w:val="21"/>
        </w:rPr>
        <w:t xml:space="preserve">R$ 3.390.000</w:t>
      </w:r>
      <w:r>
        <w:rPr>
          <w:rFonts w:ascii="Calibri" w:cs="Calibri" w:eastAsia="Calibri" w:hAnsi="Calibri"/>
          <w:color w:val="1B1C1E"/>
          <w:sz w:val="21"/>
          <w:szCs w:val="21"/>
        </w:rPr>
        <w:t xml:space="preserve">. Esse é o valor abdicado ao trocar pontos parceiros por armários inteligentes na Estação Central e em Noite Alta, em troca da mitigação dos riscos de capacidade, horário de funcionamento e integridade dos itens descritos na seção 5.</w:t>
      </w:r>
    </w:p>
    <w:p>
      <w:pPr>
        <w:pBdr>
          <w:top w:val="single" w:color="DCD7CD" w:sz="4" w:space="10"/>
        </w:pBdr>
        <w:spacing w:before="400"/>
      </w:pPr>
      <w:r>
        <w:rPr>
          <w:rFonts w:ascii="Calibri" w:cs="Calibri" w:eastAsia="Calibri" w:hAnsi="Calibri"/>
          <w:i/>
          <w:iCs/>
          <w:color w:val="4A4E55"/>
          <w:sz w:val="17"/>
          <w:szCs w:val="17"/>
        </w:rPr>
        <w:t xml:space="preserve">Relatório elaborado exclusivamente a partir dos dados do desafio CCU. Todos os volumes, preços, custos unitários e resultados apresentados constam do material de origem; nenhum dado adicional foi estimado ou incorporado.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4E55"/>
        <w:sz w:val="17"/>
        <w:szCs w:val="17"/>
      </w:rPr>
      <w:t xml:space="preserve">Desafio CCU · BagHub —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Consultoria — Lançamento da BagHub</dc:title>
  <dc:creator>Relatório de Consultoria</dc:creator>
  <cp:lastModifiedBy>Un-named</cp:lastModifiedBy>
  <cp:revision>1</cp:revision>
  <dcterms:created xsi:type="dcterms:W3CDTF">2026-09-17T13:24:19.728Z</dcterms:created>
  <dcterms:modified xsi:type="dcterms:W3CDTF">2026-09-17T13:24:19.729Z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