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4"/>
        </w:rPr>
        <w:t>Template de entrega</w:t>
      </w:r>
    </w:p>
    <w:p>
      <w:pPr>
        <w:spacing w:after="200"/>
      </w:pPr>
      <w:r>
        <w:rPr>
          <w:i/>
          <w:color w:val="475569"/>
          <w:sz w:val="19"/>
        </w:rPr>
        <w:t>Case 01, Rede Verdemar  ·  máximo 5 slides ou 2 páginas, incluindo capa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2"/>
            <w:shd w:val="clear" w:fill="C1272D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Dupla</w:t>
            </w:r>
          </w:p>
        </w:tc>
        <w:tc>
          <w:tcPr>
            <w:tcW w:type="dxa" w:w="4535"/>
            <w:shd w:val="clear" w:fill="C1272D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Data da entrega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>
              <w:rPr>
                <w:color w:val="1E293B"/>
                <w:sz w:val="20"/>
              </w:rPr>
            </w:r>
          </w:p>
        </w:tc>
        <w:tc>
          <w:tcPr>
            <w:tcW w:type="dxa" w:w="4535"/>
          </w:tcPr>
          <w:p>
            <w:pPr>
              <w:spacing w:after="20"/>
            </w:pPr>
            <w:r>
              <w:rPr>
                <w:color w:val="1E293B"/>
                <w:sz w:val="20"/>
              </w:rPr>
            </w:r>
          </w:p>
        </w:tc>
      </w:tr>
    </w:tbl>
    <w:p>
      <w:pPr>
        <w:spacing w:after="20"/>
      </w:pPr>
    </w:p>
    <w:p>
      <w:pPr>
        <w:spacing w:before="240" w:after="80"/>
        <w:pBdr>
          <w:bottom w:val="single" w:sz="6" w:color="C1272D"/>
        </w:pBdr>
      </w:pPr>
      <w:r>
        <w:rPr>
          <w:b/>
          <w:color w:val="C1272D"/>
          <w:sz w:val="25"/>
        </w:rPr>
        <w:t>Recomendação em uma frase</w:t>
      </w:r>
    </w:p>
    <w:p>
      <w:pPr>
        <w:spacing w:after="80"/>
      </w:pPr>
      <w:r>
        <w:rPr>
          <w:b w:val="0"/>
          <w:i/>
          <w:color w:val="475569"/>
          <w:sz w:val="18"/>
        </w:rPr>
        <w:t>Escreva aqui a recomendação com o número que a sustenta. Se ela não couber em uma frase, ela ainda não está pronta.</w:t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before="240" w:after="80"/>
        <w:pBdr>
          <w:bottom w:val="single" w:sz="6" w:color="C1272D"/>
        </w:pBdr>
      </w:pPr>
      <w:r>
        <w:rPr>
          <w:b/>
          <w:color w:val="C1272D"/>
          <w:sz w:val="25"/>
        </w:rPr>
        <w:t>1. Diagnóstico</w:t>
      </w:r>
    </w:p>
    <w:p>
      <w:pPr>
        <w:spacing w:after="80"/>
      </w:pPr>
      <w:r>
        <w:rPr>
          <w:b w:val="0"/>
          <w:i/>
          <w:color w:val="475569"/>
          <w:sz w:val="18"/>
        </w:rPr>
        <w:t>Onde está o dinheiro hoje e onde ele está sendo destruído. Mostre o resultado por loja e diga qual critério vocês adotaram para o custo corporativo.</w:t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before="240" w:after="80"/>
        <w:pBdr>
          <w:bottom w:val="single" w:sz="6" w:color="C1272D"/>
        </w:pBdr>
      </w:pPr>
      <w:r>
        <w:rPr>
          <w:b/>
          <w:color w:val="C1272D"/>
          <w:sz w:val="25"/>
        </w:rPr>
        <w:t>2. Estratégia</w:t>
      </w:r>
    </w:p>
    <w:p>
      <w:pPr>
        <w:spacing w:after="80"/>
      </w:pPr>
      <w:r>
        <w:rPr>
          <w:b w:val="0"/>
          <w:i/>
          <w:color w:val="475569"/>
          <w:sz w:val="18"/>
        </w:rPr>
        <w:t>O que fazer, em ordem de prioridade, e o que vocês descartaram. Alternativa descartada sem justificativa escrita não conta como análise de alternativa.</w:t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before="240" w:after="80"/>
        <w:pBdr>
          <w:bottom w:val="single" w:sz="6" w:color="C1272D"/>
        </w:pBdr>
      </w:pPr>
      <w:r>
        <w:rPr>
          <w:b/>
          <w:color w:val="C1272D"/>
          <w:sz w:val="25"/>
        </w:rPr>
        <w:t>3. Finanças</w:t>
      </w:r>
    </w:p>
    <w:p>
      <w:pPr>
        <w:spacing w:after="80"/>
      </w:pPr>
      <w:r>
        <w:rPr>
          <w:b w:val="0"/>
          <w:i/>
          <w:color w:val="475569"/>
          <w:sz w:val="18"/>
        </w:rPr>
        <w:t>Os números que sustentam a recomendação, com a memória de cálculo visível. Separe o efeito do primeiro ano do efeito recorrente.</w:t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before="240" w:after="80"/>
        <w:pBdr>
          <w:bottom w:val="single" w:sz="6" w:color="C1272D"/>
        </w:pBdr>
      </w:pPr>
      <w:r>
        <w:rPr>
          <w:b/>
          <w:color w:val="C1272D"/>
          <w:sz w:val="25"/>
        </w:rPr>
        <w:t>4. Riscos e próximos passos</w:t>
      </w:r>
    </w:p>
    <w:p>
      <w:pPr>
        <w:spacing w:after="80"/>
      </w:pPr>
      <w:r>
        <w:rPr>
          <w:b w:val="0"/>
          <w:i/>
          <w:color w:val="475569"/>
          <w:sz w:val="18"/>
        </w:rPr>
        <w:t>Três riscos da recomendação de vocês, com mitigação, e o que fazer nos primeiros 90 dias. Risco genérico como crise ou concorrência não pontua.</w:t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after="200"/>
      </w:pPr>
      <w:r>
        <w:rPr>
          <w:b w:val="0"/>
          <w:i w:val="0"/>
          <w:color w:val="1E293B"/>
          <w:sz w:val="21"/>
        </w:rPr>
      </w:r>
    </w:p>
    <w:p>
      <w:pPr>
        <w:spacing w:before="240" w:after="80"/>
        <w:pBdr>
          <w:bottom w:val="single" w:sz="6" w:color="C1272D"/>
        </w:pBdr>
      </w:pPr>
      <w:r>
        <w:rPr>
          <w:b/>
          <w:color w:val="C1272D"/>
          <w:sz w:val="25"/>
        </w:rPr>
        <w:t>Antes de enviar, confira</w:t>
      </w:r>
    </w:p>
    <w:p>
      <w:pPr>
        <w:pStyle w:val="ListBullet"/>
        <w:spacing w:after="60"/>
      </w:pPr>
      <w:r>
        <w:rPr>
          <w:color w:val="1E293B"/>
          <w:sz w:val="21"/>
        </w:rPr>
        <w:t>A recomendação está na primeira página ou no primeiro slide, com número.</w:t>
      </w:r>
    </w:p>
    <w:p>
      <w:pPr>
        <w:pStyle w:val="ListBullet"/>
        <w:spacing w:after="60"/>
      </w:pPr>
      <w:r>
        <w:rPr>
          <w:color w:val="1E293B"/>
          <w:sz w:val="21"/>
        </w:rPr>
        <w:t>A memória de cálculo dos números principais está visível.</w:t>
      </w:r>
    </w:p>
    <w:p>
      <w:pPr>
        <w:pStyle w:val="ListBullet"/>
        <w:spacing w:after="60"/>
      </w:pPr>
      <w:r>
        <w:rPr>
          <w:color w:val="1E293B"/>
          <w:sz w:val="21"/>
        </w:rPr>
        <w:t>O critério do custo corporativo está declarado por escrito.</w:t>
      </w:r>
    </w:p>
    <w:p>
      <w:pPr>
        <w:pStyle w:val="ListBullet"/>
        <w:spacing w:after="60"/>
      </w:pPr>
      <w:r>
        <w:rPr>
          <w:color w:val="1E293B"/>
          <w:sz w:val="21"/>
        </w:rPr>
        <w:t>Está dentro de 5 slides ou 2 páginas.</w:t>
      </w:r>
    </w:p>
    <w:p>
      <w:pPr>
        <w:pStyle w:val="ListBullet"/>
        <w:spacing w:after="60"/>
      </w:pPr>
      <w:r>
        <w:rPr>
          <w:color w:val="1E293B"/>
          <w:sz w:val="21"/>
        </w:rPr>
        <w:t>Vocês conferiram se todos os números do enunciado fecham entre si.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6"/>
      </w:rPr>
      <w:t>Clube de Consultoria Universitário  ·  dados fictícios, para fins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>
      <w:drawing>
        <wp:inline xmlns:a="http://schemas.openxmlformats.org/drawingml/2006/main" xmlns:pic="http://schemas.openxmlformats.org/drawingml/2006/picture">
          <wp:extent cx="792000" cy="380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2000" cy="38001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8"/>
      </w:rPr>
      <w:tab/>
      <w:t>Ciclo de cases  ·  Template de entrega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