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DA852" w14:textId="77777777" w:rsidR="00B47382" w:rsidRDefault="00000000">
      <w:pPr>
        <w:tabs>
          <w:tab w:val="right" w:pos="9071"/>
        </w:tabs>
        <w:spacing w:after="240"/>
      </w:pPr>
      <w:r>
        <w:rPr>
          <w:noProof/>
        </w:rPr>
        <w:drawing>
          <wp:inline distT="0" distB="0" distL="0" distR="0" wp14:anchorId="683A5E05" wp14:editId="2235DEAE">
            <wp:extent cx="514350" cy="581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07AC6C2A" wp14:editId="7CBE4E83">
            <wp:extent cx="1428750" cy="333375"/>
            <wp:effectExtent l="0" t="0" r="0" b="0"/>
            <wp:docPr id="1191400712" name="Picture 1191400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1EF8" w14:textId="77777777" w:rsidR="00B47382" w:rsidRDefault="00000000">
      <w:pPr>
        <w:spacing w:line="300" w:lineRule="auto"/>
        <w:jc w:val="center"/>
      </w:pPr>
      <w:r>
        <w:rPr>
          <w:b/>
          <w:bCs/>
        </w:rPr>
        <w:t>UNIVERSIDADE ESTADUAL DE CAMPINAS</w:t>
      </w:r>
    </w:p>
    <w:p w14:paraId="7083C703" w14:textId="77777777" w:rsidR="00B47382" w:rsidRDefault="00000000">
      <w:pPr>
        <w:spacing w:after="360" w:line="300" w:lineRule="auto"/>
        <w:jc w:val="center"/>
      </w:pPr>
      <w:r>
        <w:rPr>
          <w:b/>
          <w:bCs/>
        </w:rPr>
        <w:t>INSTITUTO DE ECONOMIA</w:t>
      </w:r>
    </w:p>
    <w:p w14:paraId="0A76C3C4" w14:textId="77777777" w:rsidR="00B47382" w:rsidRDefault="00000000">
      <w:pPr>
        <w:spacing w:line="300" w:lineRule="auto"/>
      </w:pPr>
      <w:r>
        <w:rPr>
          <w:b/>
          <w:bCs/>
        </w:rPr>
        <w:t>Disciplina:</w:t>
      </w:r>
      <w:r>
        <w:t xml:space="preserve"> CX904 - Podcast CERI</w:t>
      </w:r>
    </w:p>
    <w:p w14:paraId="0940F705" w14:textId="77777777" w:rsidR="00B47382" w:rsidRDefault="00000000">
      <w:pPr>
        <w:spacing w:line="300" w:lineRule="auto"/>
      </w:pPr>
      <w:r>
        <w:rPr>
          <w:b/>
          <w:bCs/>
        </w:rPr>
        <w:t>Alunos:</w:t>
      </w:r>
    </w:p>
    <w:p w14:paraId="1C5132DE" w14:textId="77777777" w:rsidR="00B47382" w:rsidRDefault="00000000">
      <w:pPr>
        <w:spacing w:line="300" w:lineRule="auto"/>
        <w:ind w:left="284"/>
      </w:pPr>
      <w:r>
        <w:t>Alan Araújo Lima – RA 243684</w:t>
      </w:r>
    </w:p>
    <w:p w14:paraId="72191D07" w14:textId="77777777" w:rsidR="00B47382" w:rsidRDefault="00000000">
      <w:pPr>
        <w:spacing w:line="300" w:lineRule="auto"/>
        <w:ind w:left="284"/>
      </w:pPr>
      <w:r>
        <w:t>Nathan Pereira – RA 238212</w:t>
      </w:r>
    </w:p>
    <w:p w14:paraId="487B8017" w14:textId="77777777" w:rsidR="00B47382" w:rsidRDefault="00000000">
      <w:pPr>
        <w:spacing w:line="300" w:lineRule="auto"/>
        <w:ind w:left="284"/>
      </w:pPr>
      <w:r>
        <w:t>Matteo Lucato – RA 246226</w:t>
      </w:r>
    </w:p>
    <w:p w14:paraId="44EDD795" w14:textId="77777777" w:rsidR="00B47382" w:rsidRDefault="00000000">
      <w:pPr>
        <w:spacing w:after="480" w:line="300" w:lineRule="auto"/>
      </w:pPr>
      <w:r>
        <w:rPr>
          <w:b/>
          <w:bCs/>
        </w:rPr>
        <w:t>Entrega:</w:t>
      </w:r>
      <w:r>
        <w:t xml:space="preserve"> roteiro preliminar, 9 de outubro de 2026</w:t>
      </w:r>
    </w:p>
    <w:p w14:paraId="7374582D" w14:textId="77777777" w:rsidR="00B47382" w:rsidRDefault="00000000">
      <w:pPr>
        <w:spacing w:after="120" w:line="300" w:lineRule="auto"/>
        <w:jc w:val="center"/>
      </w:pPr>
      <w:r>
        <w:rPr>
          <w:b/>
          <w:bCs/>
        </w:rPr>
        <w:t>ROTEIRO PRELIMINAR</w:t>
      </w:r>
    </w:p>
    <w:p w14:paraId="5167A983" w14:textId="77777777" w:rsidR="00B47382" w:rsidRDefault="00000000">
      <w:pPr>
        <w:spacing w:after="240" w:line="360" w:lineRule="auto"/>
        <w:jc w:val="center"/>
      </w:pPr>
      <w:r>
        <w:rPr>
          <w:b/>
          <w:bCs/>
        </w:rPr>
        <w:t>Café na ida, remédio na volta: que inserção externa o acordo Mercosul-UE consolida?</w:t>
      </w:r>
    </w:p>
    <w:p w14:paraId="10DEE77A" w14:textId="77777777" w:rsidR="00B47382" w:rsidRDefault="00000000">
      <w:pPr>
        <w:pStyle w:val="Heading1"/>
        <w:keepNext/>
        <w:numPr>
          <w:ilvl w:val="0"/>
          <w:numId w:val="2"/>
        </w:numPr>
        <w:spacing w:before="480" w:after="240" w:line="360" w:lineRule="auto"/>
      </w:pPr>
      <w:r>
        <w:t>TEMA E RECORTE</w:t>
      </w:r>
    </w:p>
    <w:p w14:paraId="5262E17A" w14:textId="77777777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Objeto e eixos de análise</w:t>
      </w:r>
    </w:p>
    <w:p w14:paraId="3670DAF7" w14:textId="77777777" w:rsidR="00B47382" w:rsidRDefault="00000000">
      <w:pPr>
        <w:spacing w:line="360" w:lineRule="auto"/>
        <w:ind w:firstLine="709"/>
        <w:jc w:val="both"/>
      </w:pPr>
      <w:r>
        <w:t>O episódio examina que padrão de especialização produtiva o Acordo Mercosul-União Europeia tende a consolidar, agora que deixou de ser promessa diplomática recorrente e passou a produzir efeitos jurídicos concretos: o pilar comercial está em aplicação provisória desde 1º de maio de 2026. A discussão se organiza em dois eixos, ambos verificáveis em documentos. O primeiro é a composição da pauta comercial entre o Brasil e o bloco europeu, que permite situar o acordo no debate sobre reprimarização e especialização regressiva. O segundo são as margens de política industrial que o texto efetivamente preserva ou suprime, examinadas a partir dos capítulos de compras governamentais, propriedade intelectual e salvaguardas, do que mudou na renegociação iniciada em 2023 e das cotas que limitam o acesso agrícola ao mercado europeu.</w:t>
      </w:r>
    </w:p>
    <w:p w14:paraId="228D00D0" w14:textId="77777777" w:rsidR="00B47382" w:rsidRDefault="00000000">
      <w:pPr>
        <w:spacing w:line="360" w:lineRule="auto"/>
        <w:ind w:firstLine="709"/>
        <w:jc w:val="both"/>
      </w:pPr>
      <w:r>
        <w:t>O episódio deixa de fora, deliberadamente, uma questão adjacente: o mérito ambiental do acordo, tema que exigiria tratamento próprio e deslocaria o eixo da economia industrial para a regulação ambiental comparada. O interesse deste episódio é mais restrito e, por isso, respondível em trinta minutos: um acordo comercial específico, já em vigor, e o padrão de inserção externa que ele institucionaliza.</w:t>
      </w:r>
    </w:p>
    <w:p w14:paraId="1664DF31" w14:textId="77777777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lastRenderedPageBreak/>
        <w:t>Relevância</w:t>
      </w:r>
    </w:p>
    <w:p w14:paraId="36D3140C" w14:textId="77777777" w:rsidR="00B47382" w:rsidRDefault="00000000">
      <w:pPr>
        <w:spacing w:line="360" w:lineRule="auto"/>
        <w:ind w:firstLine="709"/>
        <w:jc w:val="both"/>
      </w:pPr>
      <w:r>
        <w:t>O tema dialoga diretamente com a agenda do CERI sobre inserção externa, comércio internacional e política industrial. O entrevistado e o plano B são professores do próprio Instituto de Economia, o que torna a entrevista factível no prazo da disciplina.</w:t>
      </w:r>
    </w:p>
    <w:p w14:paraId="5AB4E181" w14:textId="77777777" w:rsidR="00B47382" w:rsidRDefault="00000000">
      <w:pPr>
        <w:pStyle w:val="Heading1"/>
        <w:keepNext/>
        <w:numPr>
          <w:ilvl w:val="0"/>
          <w:numId w:val="2"/>
        </w:numPr>
        <w:spacing w:before="480" w:after="240" w:line="360" w:lineRule="auto"/>
      </w:pPr>
      <w:r>
        <w:t>PERGUNTA-GUIA</w:t>
      </w:r>
    </w:p>
    <w:p w14:paraId="683C0733" w14:textId="77777777" w:rsidR="00B47382" w:rsidRDefault="00000000">
      <w:pPr>
        <w:spacing w:line="360" w:lineRule="auto"/>
        <w:ind w:firstLine="709"/>
        <w:jc w:val="both"/>
      </w:pPr>
      <w:r>
        <w:rPr>
          <w:b/>
          <w:bCs/>
        </w:rPr>
        <w:t>Modernização ou especialização regressiva: que padrão de inserção externa o Acordo Mercosul-União Europeia consolida para o Brasil?</w:t>
      </w:r>
    </w:p>
    <w:p w14:paraId="61ED1A99" w14:textId="77777777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Tensão e desdobramento</w:t>
      </w:r>
    </w:p>
    <w:p w14:paraId="60224F13" w14:textId="77777777" w:rsidR="00B47382" w:rsidRDefault="00000000">
      <w:pPr>
        <w:spacing w:line="360" w:lineRule="auto"/>
        <w:ind w:firstLine="709"/>
        <w:jc w:val="both"/>
      </w:pPr>
      <w:r>
        <w:t>A tensão está no confronto entre duas leituras do mesmo texto. Para o governo federal, o acordo deve modernizar o parque industrial brasileiro ao integrá-lo às cadeias produtivas europeias (BRASIL, 2026b). Para Sarti e Castilho (2021), ao contrário, um acordo desse tipo tende a ampliar as assimetrias competitivas entre os blocos e a reforçar a especialização regressiva da estrutura produtiva brasileira. A pergunta se desdobra em dois eixos. No eixo do padrão de especialização: dada a assimetria observada na pauta, a desgravação tarifária tende a aprofundá-la ou abre espaço para a diversificação? No eixo das margens de política industrial: supondo que a diversificação seja desejável, o texto preserva os instrumentos de que o Estado brasileiro precisaria para promovê-la?</w:t>
      </w:r>
    </w:p>
    <w:p w14:paraId="10DF4550" w14:textId="77777777" w:rsidR="00B47382" w:rsidRDefault="00000000">
      <w:pPr>
        <w:pStyle w:val="Heading1"/>
        <w:keepNext/>
        <w:numPr>
          <w:ilvl w:val="0"/>
          <w:numId w:val="2"/>
        </w:numPr>
        <w:spacing w:before="480" w:after="240" w:line="360" w:lineRule="auto"/>
      </w:pPr>
      <w:r>
        <w:t>CASO CONCRETO DE ABERTURA</w:t>
      </w:r>
    </w:p>
    <w:p w14:paraId="6072C582" w14:textId="56B34522" w:rsidR="00B47382" w:rsidRDefault="00000000">
      <w:pPr>
        <w:spacing w:line="360" w:lineRule="auto"/>
        <w:ind w:firstLine="709"/>
        <w:jc w:val="both"/>
      </w:pPr>
      <w:r>
        <w:t xml:space="preserve">Em 2025, o grupo do café (que inclui chá, mate e especiarias) respondeu por 14,7% de tudo o que o Brasil vendeu à União Europeia; no sentido inverso, os produtos farmacêuticos responderam por 15,1% de tudo o que o Brasil comprou do bloco (BRASIL, 2026a, 2026b). Em valores aproximados, foram cerca de US$ 7,3 bilhões em café na ida e US$ 7,6 bilhões em remédios na volta. </w:t>
      </w:r>
      <w:r w:rsidR="001034A7" w:rsidRPr="001034A7">
        <w:t>Não são os primeiros da lista, que é liderada por combustíveis na ida e por máquinas e equipamentos industriais na volta, mas são os mais fáceis de visualizar e têm quase o mesmo peso.</w:t>
      </w:r>
      <w:r w:rsidR="001034A7">
        <w:t xml:space="preserve"> </w:t>
      </w:r>
      <w:r>
        <w:t>A cena resume o problema do episódio: o Brasil vende à Europa sobretudo produtos de base agrícola e mineral e compra dela bens industriais de maior conteúdo tecnológico.</w:t>
      </w:r>
    </w:p>
    <w:p w14:paraId="2E0FF5F4" w14:textId="4B9C4F27" w:rsidR="00B47382" w:rsidRDefault="00513050">
      <w:pPr>
        <w:spacing w:line="360" w:lineRule="auto"/>
        <w:ind w:firstLine="709"/>
        <w:jc w:val="both"/>
      </w:pPr>
      <w:r>
        <w:lastRenderedPageBreak/>
        <w:t>Essa</w:t>
      </w:r>
      <w:r w:rsidR="00000000">
        <w:t xml:space="preserve"> troca é a expressão concreta de um padrão de inserção externa, e o acordo, em aplicação provisória desde maio, passa a operar sobre ela. Daí se passa à pergunta-guia, e o mesmo caso volta no encerramento.</w:t>
      </w:r>
    </w:p>
    <w:p w14:paraId="355B506E" w14:textId="77777777" w:rsidR="00B47382" w:rsidRDefault="00000000">
      <w:pPr>
        <w:pStyle w:val="Heading1"/>
        <w:keepNext/>
        <w:numPr>
          <w:ilvl w:val="0"/>
          <w:numId w:val="2"/>
        </w:numPr>
        <w:spacing w:before="480" w:after="240" w:line="360" w:lineRule="auto"/>
      </w:pPr>
      <w:r>
        <w:t>ESTRUTURA DOS 30 MINUTOS</w:t>
      </w:r>
    </w:p>
    <w:p w14:paraId="0B296E0C" w14:textId="77777777" w:rsidR="00B47382" w:rsidRDefault="00000000">
      <w:pPr>
        <w:spacing w:line="360" w:lineRule="auto"/>
        <w:ind w:firstLine="709"/>
        <w:jc w:val="both"/>
      </w:pPr>
      <w:r>
        <w:t>O episódio tem 30 minutos, divididos em 15 minutos de abertura, contextualização, transição e encerramento conduzidos pelo grupo e 15 minutos de entrevista, distribuídos nos blocos a seguir.</w:t>
      </w:r>
    </w:p>
    <w:p w14:paraId="4F6F6CEB" w14:textId="77777777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Abertura (00:00 a 01:30)</w:t>
      </w:r>
    </w:p>
    <w:p w14:paraId="00B253CF" w14:textId="77777777" w:rsidR="00B47382" w:rsidRDefault="00000000">
      <w:pPr>
        <w:spacing w:line="360" w:lineRule="auto"/>
        <w:ind w:firstLine="709"/>
        <w:jc w:val="both"/>
      </w:pPr>
      <w:r>
        <w:t xml:space="preserve">A troca de café por remédio, seguida da apresentação do </w:t>
      </w:r>
      <w:proofErr w:type="spellStart"/>
      <w:r>
        <w:t>PodCERI</w:t>
      </w:r>
      <w:proofErr w:type="spellEnd"/>
      <w:r>
        <w:t>, do tema e da pergunta-guia. A função do bloco é começar pelo concreto e anunciar a tensão do episódio.</w:t>
      </w:r>
    </w:p>
    <w:p w14:paraId="5445D6E8" w14:textId="77777777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Contextualização 1: a pauta em números (01:30 a 05:30)</w:t>
      </w:r>
    </w:p>
    <w:p w14:paraId="165270A8" w14:textId="77777777" w:rsidR="00B47382" w:rsidRDefault="00000000">
      <w:pPr>
        <w:spacing w:line="360" w:lineRule="auto"/>
        <w:ind w:firstLine="709"/>
        <w:jc w:val="both"/>
      </w:pPr>
      <w:r>
        <w:t>O que o Brasil vende à UE e o que compra dela, o peso dos produtos básicos e o saldo em manufaturados. A função do bloco é mostrar a assimetria que o acordo encontra.</w:t>
      </w:r>
    </w:p>
    <w:p w14:paraId="73B88AF6" w14:textId="77777777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Contextualização 2: o que exatamente entrou em vigor (05:30 a 09:00)</w:t>
      </w:r>
    </w:p>
    <w:p w14:paraId="09B7E679" w14:textId="77777777" w:rsidR="00B47382" w:rsidRDefault="00000000">
      <w:pPr>
        <w:spacing w:line="360" w:lineRule="auto"/>
        <w:ind w:firstLine="709"/>
        <w:jc w:val="both"/>
      </w:pPr>
      <w:r>
        <w:t>Os dois instrumentos jurídicos, o parecer pedido ao Tribunal de Justiça da União Europeia, a ação da Polônia e os cronogramas de desgravação. A função do bloco é desfazer a confusão entre acordo comercial e acordo de parceria e mostrar por que o intervalo entre aplicação provisória e ratificação plena importa.</w:t>
      </w:r>
    </w:p>
    <w:p w14:paraId="6F116108" w14:textId="77777777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Contextualização 3: abertura formal e margens de política (09:00 a 12:30)</w:t>
      </w:r>
    </w:p>
    <w:p w14:paraId="08C46F23" w14:textId="77777777" w:rsidR="00B47382" w:rsidRDefault="00000000">
      <w:pPr>
        <w:spacing w:line="360" w:lineRule="auto"/>
        <w:ind w:firstLine="709"/>
        <w:jc w:val="both"/>
      </w:pPr>
      <w:r>
        <w:t>As duas leituras do acordo, o que a renegociação preservou, a distância entre a abertura europeia e a pauta brasileira e a estimativa oficial de impacto. A função do bloco é apresentar os dados que sustentam e os que tensionam a hipótese.</w:t>
      </w:r>
    </w:p>
    <w:p w14:paraId="72E855AC" w14:textId="77777777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Transição (12:30 a 13:30)</w:t>
      </w:r>
    </w:p>
    <w:p w14:paraId="562B9E05" w14:textId="77777777" w:rsidR="00B47382" w:rsidRDefault="00000000">
      <w:pPr>
        <w:spacing w:line="360" w:lineRule="auto"/>
        <w:ind w:firstLine="709"/>
        <w:jc w:val="both"/>
      </w:pPr>
      <w:r>
        <w:t>Apresentação do entrevistado e da razão da escolha, para passar a palavra a quem pesquisa o tema.</w:t>
      </w:r>
    </w:p>
    <w:p w14:paraId="625A0D71" w14:textId="77777777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lastRenderedPageBreak/>
        <w:t>Entrevista (13:30 a 28:30)</w:t>
      </w:r>
    </w:p>
    <w:p w14:paraId="33C289E8" w14:textId="6FA909E0" w:rsidR="00B47382" w:rsidRDefault="00000000">
      <w:pPr>
        <w:spacing w:line="360" w:lineRule="auto"/>
        <w:ind w:firstLine="709"/>
        <w:jc w:val="both"/>
      </w:pPr>
      <w:r>
        <w:t>Cinco perguntas, em progressão do diagnóstico ao que fazer</w:t>
      </w:r>
      <w:r w:rsidR="001034A7">
        <w:t>. A</w:t>
      </w:r>
      <w:r>
        <w:t xml:space="preserve"> função do bloco é submeter a hipótese do episódio ao entrevistado.</w:t>
      </w:r>
    </w:p>
    <w:p w14:paraId="49316BA9" w14:textId="77777777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Encerramento (28:30 a 30:00)</w:t>
      </w:r>
    </w:p>
    <w:p w14:paraId="07FC1F32" w14:textId="42ECBCA7" w:rsidR="00B47382" w:rsidRDefault="00000000">
      <w:pPr>
        <w:spacing w:line="360" w:lineRule="auto"/>
        <w:ind w:firstLine="709"/>
        <w:jc w:val="both"/>
      </w:pPr>
      <w:r>
        <w:t>Síntese da resposta à pergunta-guia, indicação do que segue em aberto (o parecer do Tribunal e a ação da Polônia) e retorno ao caso de abertura: daqui a dez anos, a troca de café por remédio terá mudado?</w:t>
      </w:r>
    </w:p>
    <w:p w14:paraId="6E456ABF" w14:textId="77777777" w:rsidR="00B47382" w:rsidRDefault="00000000">
      <w:pPr>
        <w:pStyle w:val="Heading1"/>
        <w:keepNext/>
        <w:numPr>
          <w:ilvl w:val="0"/>
          <w:numId w:val="2"/>
        </w:numPr>
        <w:spacing w:before="480" w:after="240" w:line="360" w:lineRule="auto"/>
      </w:pPr>
      <w:r>
        <w:t>CONTEXTUALIZAÇÃO</w:t>
      </w:r>
    </w:p>
    <w:p w14:paraId="781D1A51" w14:textId="77777777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A pauta em números (01:30 a 05:30)</w:t>
      </w:r>
    </w:p>
    <w:p w14:paraId="0F879C3A" w14:textId="77777777" w:rsidR="00B47382" w:rsidRDefault="00000000">
      <w:pPr>
        <w:pStyle w:val="Heading3"/>
        <w:keepNext/>
        <w:numPr>
          <w:ilvl w:val="2"/>
          <w:numId w:val="2"/>
        </w:numPr>
        <w:spacing w:before="240" w:after="120" w:line="360" w:lineRule="auto"/>
      </w:pPr>
      <w:r>
        <w:t>Exportações e importações</w:t>
      </w:r>
    </w:p>
    <w:p w14:paraId="608107DA" w14:textId="77777777" w:rsidR="00B47382" w:rsidRDefault="00000000">
      <w:pPr>
        <w:spacing w:line="360" w:lineRule="auto"/>
        <w:ind w:firstLine="709"/>
        <w:jc w:val="both"/>
      </w:pPr>
      <w:r>
        <w:t>A União Europeia é o segundo maior parceiro comercial do Brasil. Em 2025, o Brasil exportou US$ 49,8 bilhões para o bloco e importou US$ 50,3 bilhões (BRASIL, 2026a). Do lado das exportações, lideram combustíveis (22,0%), o grupo do café (14,7%), minérios (8,8%) e alimentos para animais (8,3%), enquanto máquinas e equipamentos industriais respondem por apenas 2,7%. Do lado das importações, lideram máquinas e equipamentos industriais (25,4%), produtos farmacêuticos (15,1%) e veículos rodoviários (7,8%) (BRASIL, 2026a, 2026b).</w:t>
      </w:r>
    </w:p>
    <w:p w14:paraId="51172B88" w14:textId="77777777" w:rsidR="00B47382" w:rsidRDefault="00000000">
      <w:pPr>
        <w:pStyle w:val="Heading3"/>
        <w:keepNext/>
        <w:numPr>
          <w:ilvl w:val="2"/>
          <w:numId w:val="2"/>
        </w:numPr>
        <w:spacing w:before="240" w:after="120" w:line="360" w:lineRule="auto"/>
      </w:pPr>
      <w:r>
        <w:t>Saldo em manufaturados e tendência</w:t>
      </w:r>
    </w:p>
    <w:p w14:paraId="00EDEB7C" w14:textId="77777777" w:rsidR="00B47382" w:rsidRDefault="00000000">
      <w:pPr>
        <w:spacing w:line="360" w:lineRule="auto"/>
        <w:ind w:firstLine="709"/>
        <w:jc w:val="both"/>
      </w:pPr>
      <w:r>
        <w:t>O saldo total foi quase equilibrado, com déficit brasileiro de US$ 523 milhões, depois de três anos de superávit. A composição, porém, é profundamente assimétrica: entre os dez principais produtos vendidos à UE, os básicos passaram de 80% do valor em 2011 para 87% em 2025, com o petróleo bruto na liderança; a UE é a origem de 21% de tudo o que o Brasil importa em manufaturados; e o déficit brasileiro nesses bens com o bloco chegou a US$ 39,3 bilhões, o segundo maior depois do registrado com a China. A tendência é de piora, já que a participação da UE nas exportações brasileiras de manufaturados caiu de 17% para 8% entre 2011 e 2025 (IEDI, 2026). O ponto a fixar é que a assimetria antecede o acordo; a pergunta é se ele a cristaliza.</w:t>
      </w:r>
    </w:p>
    <w:p w14:paraId="426F96D0" w14:textId="77777777" w:rsidR="00B47382" w:rsidRDefault="00000000">
      <w:pPr>
        <w:pStyle w:val="Heading3"/>
        <w:keepNext/>
        <w:numPr>
          <w:ilvl w:val="2"/>
          <w:numId w:val="2"/>
        </w:numPr>
        <w:spacing w:before="240" w:after="120" w:line="360" w:lineRule="auto"/>
      </w:pPr>
      <w:r>
        <w:lastRenderedPageBreak/>
        <w:t>Nota metodológica</w:t>
      </w:r>
    </w:p>
    <w:p w14:paraId="4DF98E31" w14:textId="77777777" w:rsidR="00B47382" w:rsidRDefault="00000000">
      <w:pPr>
        <w:spacing w:line="360" w:lineRule="auto"/>
        <w:ind w:firstLine="709"/>
        <w:jc w:val="both"/>
      </w:pPr>
      <w:r>
        <w:t xml:space="preserve">Os totais e as participações por grupo de produtos vêm do Comex </w:t>
      </w:r>
      <w:proofErr w:type="spellStart"/>
      <w:r>
        <w:t>Stat</w:t>
      </w:r>
      <w:proofErr w:type="spellEnd"/>
      <w:r>
        <w:t>, nos agrupamentos divulgados pelo governo federal (BRASIL, 2026a, 2026b); a divisão entre básicos e manufaturados segue a classificação usada pelo IEDI (2026), também a partir de dados da Secex/MDIC. As duas classificações não são somadas nem comparadas diretamente no episódio.</w:t>
      </w:r>
    </w:p>
    <w:p w14:paraId="79D0D0ED" w14:textId="77777777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O que exatamente entrou em vigor (05:30 a 09:00)</w:t>
      </w:r>
    </w:p>
    <w:p w14:paraId="5AEC2036" w14:textId="77777777" w:rsidR="00B47382" w:rsidRDefault="00000000">
      <w:pPr>
        <w:pStyle w:val="Heading3"/>
        <w:keepNext/>
        <w:numPr>
          <w:ilvl w:val="2"/>
          <w:numId w:val="2"/>
        </w:numPr>
        <w:spacing w:before="240" w:after="120" w:line="360" w:lineRule="auto"/>
      </w:pPr>
      <w:r>
        <w:t>Os dois instrumentos</w:t>
      </w:r>
    </w:p>
    <w:p w14:paraId="2F9CAB3C" w14:textId="77777777" w:rsidR="00B47382" w:rsidRDefault="00000000">
      <w:pPr>
        <w:spacing w:line="360" w:lineRule="auto"/>
        <w:ind w:firstLine="709"/>
        <w:jc w:val="both"/>
      </w:pPr>
      <w:r>
        <w:t>Depois de 26 anos de negociação, o acordo foi assinado em Assunção, em 17 de janeiro de 2026, sob a forma de dois instrumentos jurídicos (BRASIL, 2026b). O Acordo Provisório de Comércio cobre apenas o pilar comercial e, do lado europeu, depende somente da aprovação do Parlamento Europeu; o Acordo de Parceria reúne os pilares comercial, político e de cooperação e depende da ratificação pelos Estados-membros. Ambos admitem vigência bilateral, de modo que bastaria a conclusão dos trâmites pela UE e pelo Brasil para que produzissem efeitos entre essas partes (BRASIL, 2026b). O que se aplica desde 1º de maio de 2026 é o acordo provisório, e não o conjunto (TJUE, 2026).</w:t>
      </w:r>
    </w:p>
    <w:p w14:paraId="2861DAB0" w14:textId="77777777" w:rsidR="00B47382" w:rsidRDefault="00000000">
      <w:pPr>
        <w:pStyle w:val="Heading3"/>
        <w:keepNext/>
        <w:numPr>
          <w:ilvl w:val="2"/>
          <w:numId w:val="2"/>
        </w:numPr>
        <w:spacing w:before="240" w:after="120" w:line="360" w:lineRule="auto"/>
      </w:pPr>
      <w:r>
        <w:t>A judicialização</w:t>
      </w:r>
    </w:p>
    <w:p w14:paraId="4D0F6D20" w14:textId="77777777" w:rsidR="00B47382" w:rsidRDefault="00000000">
      <w:pPr>
        <w:spacing w:line="360" w:lineRule="auto"/>
        <w:ind w:firstLine="709"/>
        <w:jc w:val="both"/>
      </w:pPr>
      <w:r>
        <w:t>Esse fatiamento é o que está sob exame judicial. O Parlamento Europeu pediu ao Tribunal de Justiça da União Europeia (TJUE) um parecer sobre a compatibilidade do acordo com os Tratados. Em paralelo, a Polônia pede a anulação da Decisão (UE) 2026/183 do Conselho, que autorizou a assinatura e a aplicação provisória, por considerá-la ilegal. Em 29 de setembro, o vice-presidente do Tribunal indeferiu o pedido polonês de suspensão, mas a decisão de mérito ainda será proferida (TJUE, 2026). As preferências tarifárias operam, assim, sob uma decisão cuja validade está sob exame judicial, o que interessa ao episódio não como curiosidade processual, mas porque define o horizonte de cálculo de quem decide investir com base nelas.</w:t>
      </w:r>
    </w:p>
    <w:p w14:paraId="63DA40A3" w14:textId="77777777" w:rsidR="00B47382" w:rsidRDefault="00000000">
      <w:pPr>
        <w:pStyle w:val="Heading3"/>
        <w:keepNext/>
        <w:numPr>
          <w:ilvl w:val="2"/>
          <w:numId w:val="2"/>
        </w:numPr>
        <w:spacing w:before="240" w:after="120" w:line="360" w:lineRule="auto"/>
      </w:pPr>
      <w:r>
        <w:t>Cronogramas de desgravação</w:t>
      </w:r>
    </w:p>
    <w:p w14:paraId="46EE8927" w14:textId="77777777" w:rsidR="00B47382" w:rsidRDefault="00000000">
      <w:pPr>
        <w:spacing w:line="360" w:lineRule="auto"/>
        <w:ind w:firstLine="709"/>
        <w:jc w:val="both"/>
      </w:pPr>
      <w:r>
        <w:t xml:space="preserve">A abertura é assimétrica também no tempo. A UE eliminará tarifas sobre cerca de 95% dos bens, que representam 92% do valor do que importa do Brasil, em prazos de até 12 anos; o Mercosul o fará para cerca de 91% dos bens, ou 85% do valor do que o Brasil importa da UE, </w:t>
      </w:r>
      <w:r>
        <w:lastRenderedPageBreak/>
        <w:t>em prazos de até 15 anos (BRASIL, 2026b). A situação jurídica descrita nesta seção foi conferida em 8 de outubro de 2026 e deve ser revisada antes da gravação.</w:t>
      </w:r>
    </w:p>
    <w:p w14:paraId="48107223" w14:textId="77777777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Abertura formal e margens de política (09:00 a 12:30)</w:t>
      </w:r>
    </w:p>
    <w:p w14:paraId="39F781CE" w14:textId="77777777" w:rsidR="00B47382" w:rsidRDefault="00000000">
      <w:pPr>
        <w:pStyle w:val="Heading3"/>
        <w:keepNext/>
        <w:numPr>
          <w:ilvl w:val="2"/>
          <w:numId w:val="2"/>
        </w:numPr>
        <w:spacing w:before="240" w:after="120" w:line="360" w:lineRule="auto"/>
      </w:pPr>
      <w:r>
        <w:t>Duas leituras do acordo</w:t>
      </w:r>
    </w:p>
    <w:p w14:paraId="673B948D" w14:textId="77777777" w:rsidR="00B47382" w:rsidRDefault="00000000">
      <w:pPr>
        <w:spacing w:line="360" w:lineRule="auto"/>
        <w:ind w:firstLine="709"/>
        <w:jc w:val="both"/>
      </w:pPr>
      <w:r>
        <w:t>O governo federal apresenta o acordo como instrumento de modernização industrial e de integração às cadeias produtivas europeias (BRASIL, 2026b). Sarti e Castilho (2021), analisando a versão de 2019, sustentaram o oposto: por ir além das tarifas e disciplinar compras governamentais, propriedade intelectual e investimento, o acordo tenderia a ampliar as assimetrias competitivas entre os blocos e a reforçar a especialização regressiva da estrutura produtiva brasileira. É esse confronto que o bloco organiza para a entrevista.</w:t>
      </w:r>
    </w:p>
    <w:p w14:paraId="73BEC175" w14:textId="77777777" w:rsidR="00B47382" w:rsidRDefault="00000000">
      <w:pPr>
        <w:pStyle w:val="Heading3"/>
        <w:keepNext/>
        <w:numPr>
          <w:ilvl w:val="2"/>
          <w:numId w:val="2"/>
        </w:numPr>
        <w:spacing w:before="240" w:after="120" w:line="360" w:lineRule="auto"/>
      </w:pPr>
      <w:r>
        <w:t>O que a renegociação preservou</w:t>
      </w:r>
    </w:p>
    <w:p w14:paraId="78109658" w14:textId="77777777" w:rsidR="00B47382" w:rsidRDefault="00000000">
      <w:pPr>
        <w:spacing w:line="360" w:lineRule="auto"/>
        <w:ind w:firstLine="709"/>
        <w:jc w:val="both"/>
      </w:pPr>
      <w:r>
        <w:t>A renegociação iniciada em 2023 resultou no chamado Pacote de Brasília, que alterou pontos do texto de 2019 (BRASIL, 2026b). No capítulo de compras governamentais, o Brasil excluiu completamente as compras do Sistema Único de Saúde (SUS) e preservou espaço para políticas de desenvolvimento industrial, tecnologia e inovação e pequenas empresas. Em propriedade intelectual, o texto não altera as regras sobre patentes acordadas na OMC. No setor automotivo, foram negociados prazos de desgravação de 18, 25 e 30 anos para veículos eletrificados, movidos a hidrogênio e de novas tecnologias, além de um mecanismo de salvaguarda específico para o setor (BRASIL, 2026b).</w:t>
      </w:r>
    </w:p>
    <w:p w14:paraId="2F649D17" w14:textId="77777777" w:rsidR="00B47382" w:rsidRDefault="00000000">
      <w:pPr>
        <w:pStyle w:val="Heading3"/>
        <w:keepNext/>
        <w:numPr>
          <w:ilvl w:val="2"/>
          <w:numId w:val="2"/>
        </w:numPr>
        <w:spacing w:before="240" w:after="120" w:line="360" w:lineRule="auto"/>
      </w:pPr>
      <w:r>
        <w:t>Abertura formal e pauta efetiva</w:t>
      </w:r>
    </w:p>
    <w:p w14:paraId="41EB3D38" w14:textId="0C8BCE2B" w:rsidR="00B47382" w:rsidRDefault="00000000">
      <w:pPr>
        <w:spacing w:line="360" w:lineRule="auto"/>
        <w:ind w:firstLine="709"/>
        <w:jc w:val="both"/>
      </w:pPr>
      <w:r>
        <w:t>A abertura europeia é ampla: apenas cerca de 3% dos bens, ou 5% do valor importado, ficam sujeitos a cotas ou tratamentos não tarifários, aplicados principalmente a produtos agrícolas (BRASIL, 2026b). O problema é que a pauta brasileira tem pouco a oferecer justamente onde a abertura é plena: máquinas e equipamentos industriais são apenas 2,7% do que o Brasil vende ao bloco (BRASIL, 2026a, 2026b). Onde o país é competitivo, o acesso é limitado por cotas, como as 99 mil toneladas de carne bovina com tarifa de 7,5% e as 180 mil toneladas de carne de aves com tarifa zero (BRASIL, 2026b). É essa distância entre abertura formal e capacidade produtiva de ocupá-la que a entrevista deve investigar.</w:t>
      </w:r>
    </w:p>
    <w:p w14:paraId="78985A38" w14:textId="77777777" w:rsidR="00B47382" w:rsidRDefault="00000000">
      <w:pPr>
        <w:pStyle w:val="Heading3"/>
        <w:keepNext/>
        <w:numPr>
          <w:ilvl w:val="2"/>
          <w:numId w:val="2"/>
        </w:numPr>
        <w:spacing w:before="240" w:after="120" w:line="360" w:lineRule="auto"/>
      </w:pPr>
      <w:r>
        <w:lastRenderedPageBreak/>
        <w:t>Estimativa oficial de impacto</w:t>
      </w:r>
    </w:p>
    <w:p w14:paraId="07C9FE20" w14:textId="77777777" w:rsidR="00B47382" w:rsidRDefault="00000000">
      <w:pPr>
        <w:spacing w:line="360" w:lineRule="auto"/>
        <w:ind w:firstLine="709"/>
        <w:jc w:val="both"/>
      </w:pPr>
      <w:r>
        <w:t>A simulação oficial, feita com modelo de equilíbrio geral, projeta efeito positivo de 0,34% sobre o PIB brasileiro em 2044, o equivalente a R$ 37 bilhões a preços de 2023 (BRASIL, 2026b). O ganho agregado estimado é pequeno, o que desloca a discussão para a composição desse ganho. A pergunta que o bloco deixa para a entrevista é se as margens preservadas bastam para mudar o padrão de inserção ou apenas desaceleram sua consolidação.</w:t>
      </w:r>
    </w:p>
    <w:p w14:paraId="6B26B4C4" w14:textId="77777777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Transição (12:30 a 13:30)</w:t>
      </w:r>
    </w:p>
    <w:p w14:paraId="46F1A44F" w14:textId="77777777" w:rsidR="00B47382" w:rsidRDefault="00000000">
      <w:pPr>
        <w:spacing w:line="360" w:lineRule="auto"/>
        <w:ind w:firstLine="709"/>
        <w:jc w:val="both"/>
      </w:pPr>
      <w:r>
        <w:t>Apresentação do professor Fernando Sarti como coautor do estudo que serve de referência ao episódio, o que justifica a escolha: ele pode dizer se o diagnóstico formulado em 2021 resiste ao texto renegociado e em vigor.</w:t>
      </w:r>
    </w:p>
    <w:p w14:paraId="3F395420" w14:textId="77777777" w:rsidR="00B47382" w:rsidRDefault="00000000">
      <w:pPr>
        <w:pStyle w:val="Heading1"/>
        <w:keepNext/>
        <w:numPr>
          <w:ilvl w:val="0"/>
          <w:numId w:val="2"/>
        </w:numPr>
        <w:spacing w:before="480" w:after="240" w:line="360" w:lineRule="auto"/>
      </w:pPr>
      <w:r>
        <w:t>ROTEIRO DE ENTREVISTA</w:t>
      </w:r>
    </w:p>
    <w:p w14:paraId="155D18E8" w14:textId="77777777" w:rsidR="00B47382" w:rsidRDefault="00000000">
      <w:pPr>
        <w:spacing w:line="360" w:lineRule="auto"/>
        <w:ind w:firstLine="709"/>
        <w:jc w:val="both"/>
      </w:pPr>
      <w:r>
        <w:t>São cinco perguntas, em progressão do diagnóstico ao que fazer, para caberem em 15 minutos. Os enunciados estão na forma em que serão lidos. Os dois follow-ups são opcionais e só entram se houver tempo; se a entrevista se alongar, a pergunta 4 pode ser fundida à 3.</w:t>
      </w:r>
    </w:p>
    <w:p w14:paraId="2F91487C" w14:textId="2286262A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Pergunta 1</w:t>
      </w:r>
    </w:p>
    <w:p w14:paraId="73968C78" w14:textId="77777777" w:rsidR="00B47382" w:rsidRDefault="00000000">
      <w:pPr>
        <w:spacing w:line="360" w:lineRule="auto"/>
        <w:ind w:firstLine="709"/>
        <w:jc w:val="both"/>
      </w:pPr>
      <w:r>
        <w:t>“Professor, em 2021 o senhor e a Marta Castilho escreveram que o acordo tenderia a ampliar as assimetrias competitivas entre os blocos e a reforçar uma especialização regressiva no Brasil. Aquele texto analisava a versão de 2019. Com a renegociação e o acordo aplicado desde maio, a desgravação tende a aprofundar esse padrão ou abre espaço para modificá-lo?”</w:t>
      </w:r>
    </w:p>
    <w:p w14:paraId="66981D60" w14:textId="0F72D6DA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Pergunta 2</w:t>
      </w:r>
    </w:p>
    <w:p w14:paraId="74ABD9CB" w14:textId="3DFC0A30" w:rsidR="00B47382" w:rsidRDefault="00000000">
      <w:pPr>
        <w:spacing w:line="360" w:lineRule="auto"/>
        <w:ind w:firstLine="709"/>
        <w:jc w:val="both"/>
      </w:pPr>
      <w:r>
        <w:t>“</w:t>
      </w:r>
      <w:r w:rsidR="00DE0ECF" w:rsidRPr="00DE0ECF">
        <w:t xml:space="preserve">A Europa vai eliminar, em até 12 anos, as tarifas de cerca de 95% dos produtos, inclusive bens industriais. Hoje, o grupo de máquinas e equipamentos industriais é só 2,7% do que o Brasil vende à Europa. </w:t>
      </w:r>
      <w:r>
        <w:t>Essa abertura é uma oportunidade real de diversificar a pauta ou uma concessão de baixo custo para a Europa?”</w:t>
      </w:r>
    </w:p>
    <w:p w14:paraId="49EABF68" w14:textId="11C52412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Pergunta 3</w:t>
      </w:r>
    </w:p>
    <w:p w14:paraId="4DBDC655" w14:textId="11C852C6" w:rsidR="00B47382" w:rsidRDefault="00000000">
      <w:pPr>
        <w:spacing w:line="360" w:lineRule="auto"/>
        <w:ind w:firstLine="709"/>
        <w:jc w:val="both"/>
      </w:pPr>
      <w:r>
        <w:t>“</w:t>
      </w:r>
      <w:r w:rsidR="00F12B3E" w:rsidRPr="00F12B3E">
        <w:t xml:space="preserve">Depois da renegociação, as compras do SUS ficaram totalmente fora das regras que abrem as licitações públicas às empresas europeias e, segundo o governo, o texto preserva </w:t>
      </w:r>
      <w:r w:rsidR="00F12B3E" w:rsidRPr="00F12B3E">
        <w:lastRenderedPageBreak/>
        <w:t>espaço nessas compras para política industrial, de inovação e para pequenas e médias empresas. Esse espaço é suficiente para sustentar uma política industrial como a Nova Indústria Brasil, ou há instrumentos que outros capítulos do acordo ainda limitam?</w:t>
      </w:r>
      <w:r w:rsidR="00F12B3E">
        <w:t>”</w:t>
      </w:r>
    </w:p>
    <w:p w14:paraId="17982F74" w14:textId="148C333F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Pergunta 4</w:t>
      </w:r>
    </w:p>
    <w:p w14:paraId="446142FE" w14:textId="53ED0F88" w:rsidR="00B47382" w:rsidRDefault="00000000">
      <w:pPr>
        <w:spacing w:line="360" w:lineRule="auto"/>
        <w:ind w:firstLine="709"/>
        <w:jc w:val="both"/>
      </w:pPr>
      <w:r>
        <w:t>“</w:t>
      </w:r>
      <w:r w:rsidR="00F12B3E" w:rsidRPr="00F12B3E">
        <w:t>O governo afirma que o acordo vai integrar a indústria brasileira às cadeias produtivas europeias. Em quais setores o senhor vê essa integração de fato acontecendo, e em quais o mais provável é que a produção nacional seja substituída por importação europeia?</w:t>
      </w:r>
      <w:r>
        <w:t>”</w:t>
      </w:r>
    </w:p>
    <w:p w14:paraId="7EF6BE0E" w14:textId="0E4BC614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Pergunta 5</w:t>
      </w:r>
    </w:p>
    <w:p w14:paraId="5AE62B93" w14:textId="0BFA9608" w:rsidR="00B47382" w:rsidRDefault="00000000">
      <w:pPr>
        <w:spacing w:line="360" w:lineRule="auto"/>
        <w:ind w:firstLine="709"/>
        <w:jc w:val="both"/>
      </w:pPr>
      <w:r>
        <w:t>“Se o diagnóstico de especialização regressiva estiver correto, o que precisaria ser feito internamente, e em que prazo, para que o acordo não consolidasse esse padrão?”</w:t>
      </w:r>
    </w:p>
    <w:p w14:paraId="08F175EB" w14:textId="77777777" w:rsidR="00B47382" w:rsidRDefault="00000000">
      <w:pPr>
        <w:pStyle w:val="Heading1"/>
        <w:keepNext/>
        <w:numPr>
          <w:ilvl w:val="0"/>
          <w:numId w:val="2"/>
        </w:numPr>
        <w:spacing w:before="480" w:after="240" w:line="360" w:lineRule="auto"/>
      </w:pPr>
      <w:r>
        <w:t>ENTREVISTADO E PLANO B</w:t>
      </w:r>
    </w:p>
    <w:p w14:paraId="32457331" w14:textId="77777777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>Entrevistado: Fernando Sarti (IE-Unicamp)</w:t>
      </w:r>
    </w:p>
    <w:p w14:paraId="2D60E8D5" w14:textId="77777777" w:rsidR="00B47382" w:rsidRDefault="00000000">
      <w:pPr>
        <w:spacing w:line="360" w:lineRule="auto"/>
        <w:ind w:firstLine="709"/>
        <w:jc w:val="both"/>
      </w:pPr>
      <w:r>
        <w:t>Coautor do estudo sobre os impactos do acordo na indústria brasileira que ancora o episódio, é quem pode dizer se o diagnóstico de especialização regressiva que formulou em 2021 resiste ao texto renegociado e em vigor.</w:t>
      </w:r>
    </w:p>
    <w:p w14:paraId="79D0F889" w14:textId="77777777" w:rsidR="00B47382" w:rsidRDefault="00000000">
      <w:pPr>
        <w:pStyle w:val="Heading2"/>
        <w:keepNext/>
        <w:numPr>
          <w:ilvl w:val="1"/>
          <w:numId w:val="2"/>
        </w:numPr>
        <w:spacing w:before="360" w:after="120" w:line="360" w:lineRule="auto"/>
      </w:pPr>
      <w:r>
        <w:t xml:space="preserve">Plano B: Célio </w:t>
      </w:r>
      <w:proofErr w:type="spellStart"/>
      <w:r>
        <w:t>Hiratuka</w:t>
      </w:r>
      <w:proofErr w:type="spellEnd"/>
      <w:r>
        <w:t xml:space="preserve"> (IE-Unicamp)</w:t>
      </w:r>
    </w:p>
    <w:p w14:paraId="60DB92B5" w14:textId="77777777" w:rsidR="00B47382" w:rsidRDefault="00000000">
      <w:pPr>
        <w:spacing w:line="360" w:lineRule="auto"/>
        <w:ind w:firstLine="709"/>
        <w:jc w:val="both"/>
      </w:pPr>
      <w:r>
        <w:t>Pesquisador de comércio internacional, investimento direto estrangeiro e relações Brasil-China, pode responder à mesma pergunta comparando o padrão que o acordo tende a consolidar com o que o comércio com a China já consolidou. Com ele, a pergunta 1 é reformulada sem a referência à autoria (“Estudos sobre a versão de 2019, como o de Sarti e Castilho, previam...”).</w:t>
      </w:r>
    </w:p>
    <w:p w14:paraId="62981C2B" w14:textId="77777777" w:rsidR="00B47382" w:rsidRDefault="00000000">
      <w:pPr>
        <w:pStyle w:val="Heading1"/>
        <w:keepNext/>
        <w:pageBreakBefore/>
        <w:spacing w:after="480" w:line="360" w:lineRule="auto"/>
        <w:jc w:val="center"/>
      </w:pPr>
      <w:r>
        <w:lastRenderedPageBreak/>
        <w:t>REFERÊNCIAS</w:t>
      </w:r>
    </w:p>
    <w:p w14:paraId="007D857A" w14:textId="1144270D" w:rsidR="00B47382" w:rsidRDefault="00000000">
      <w:pPr>
        <w:keepLines/>
        <w:spacing w:after="240"/>
      </w:pPr>
      <w:r>
        <w:t xml:space="preserve">BRASIL. Ministério do Desenvolvimento, Indústria, Comércio e Serviços. </w:t>
      </w:r>
      <w:r>
        <w:rPr>
          <w:i/>
          <w:iCs/>
        </w:rPr>
        <w:t xml:space="preserve">Comex </w:t>
      </w:r>
      <w:proofErr w:type="spellStart"/>
      <w:r>
        <w:rPr>
          <w:i/>
          <w:iCs/>
        </w:rPr>
        <w:t>Stat</w:t>
      </w:r>
      <w:proofErr w:type="spellEnd"/>
      <w:r>
        <w:t xml:space="preserve">: estatísticas de comércio exterior do Brasil. Brasília, DF: MDIC, 2026a. Base de dados. Disponível em: https://comexstat.mdic.gov.br. Acesso em: </w:t>
      </w:r>
      <w:r w:rsidR="00513050">
        <w:t xml:space="preserve">7 </w:t>
      </w:r>
      <w:r>
        <w:t>out. 2026.</w:t>
      </w:r>
    </w:p>
    <w:p w14:paraId="6A76435A" w14:textId="139AABBD" w:rsidR="00B47382" w:rsidRDefault="00000000">
      <w:pPr>
        <w:keepLines/>
        <w:spacing w:after="240"/>
      </w:pPr>
      <w:r>
        <w:t xml:space="preserve">BRASIL. Presidência da República. </w:t>
      </w:r>
      <w:proofErr w:type="spellStart"/>
      <w:r>
        <w:rPr>
          <w:i/>
          <w:iCs/>
        </w:rPr>
        <w:t>Factsheet</w:t>
      </w:r>
      <w:proofErr w:type="spellEnd"/>
      <w:r>
        <w:t xml:space="preserve">: Acordo de Parceria Mercosul-União Europeia. Brasília, DF: Presidência da República, 2026b. Disponível em: </w:t>
      </w:r>
      <w:hyperlink r:id="rId9" w:history="1">
        <w:r w:rsidR="00513050" w:rsidRPr="00513050">
          <w:t>https://www.gov.br/siscomex/pt-br/acordos-comerciais/arquivos/2026/acordo-mercosul-uniao-europeia/factsheet-acordo-mercosul-ue-editado.pdf</w:t>
        </w:r>
      </w:hyperlink>
      <w:r w:rsidR="00513050" w:rsidRPr="00513050">
        <w:t>.</w:t>
      </w:r>
      <w:r w:rsidR="00513050">
        <w:t xml:space="preserve"> </w:t>
      </w:r>
      <w:r>
        <w:t xml:space="preserve">Acesso em: </w:t>
      </w:r>
      <w:r w:rsidR="00513050">
        <w:t>7</w:t>
      </w:r>
      <w:r>
        <w:t xml:space="preserve"> out. 2026.</w:t>
      </w:r>
    </w:p>
    <w:p w14:paraId="5602D014" w14:textId="3D9DD565" w:rsidR="00B47382" w:rsidRDefault="00000000">
      <w:pPr>
        <w:keepLines/>
        <w:spacing w:after="240"/>
      </w:pPr>
      <w:r>
        <w:t xml:space="preserve">INSTITUTO DE ESTUDOS PARA O DESENVOLVIMENTO INDUSTRIAL (IEDI). A balança comercial em 2025, o tarifaço dos EUA e perspectivas do Acordo Mercosul-UE. </w:t>
      </w:r>
      <w:r>
        <w:rPr>
          <w:i/>
          <w:iCs/>
        </w:rPr>
        <w:t>Carta IEDI</w:t>
      </w:r>
      <w:r>
        <w:t xml:space="preserve">, São Paulo, n. 1354, 30 mar. 2026. Disponível em: https://www.iedi.org.br/cartas/carta_iedi_n_1354.html. Acesso em: </w:t>
      </w:r>
      <w:r w:rsidR="00513050">
        <w:t xml:space="preserve">7 </w:t>
      </w:r>
      <w:r>
        <w:t>out. 2026.</w:t>
      </w:r>
    </w:p>
    <w:p w14:paraId="44F56249" w14:textId="77777777" w:rsidR="00B47382" w:rsidRDefault="00000000">
      <w:pPr>
        <w:keepLines/>
        <w:spacing w:after="240"/>
      </w:pPr>
      <w:r>
        <w:t xml:space="preserve">SARTI, Fernando; CASTILHO, Marta. Impactos do acordo Mercosul e União Europeia sobre a indústria brasileira. In: ENCONTRO NACIONAL DE ECONOMIA INDUSTRIAL E INOVAÇÃO, 5., 2021, on-line. </w:t>
      </w:r>
      <w:r w:rsidRPr="00513050">
        <w:rPr>
          <w:i/>
          <w:iCs/>
          <w:lang w:val="en-US"/>
        </w:rPr>
        <w:t>Anais</w:t>
      </w:r>
      <w:r w:rsidRPr="00513050">
        <w:rPr>
          <w:lang w:val="en-US"/>
        </w:rPr>
        <w:t xml:space="preserve"> [...]. São Paulo: Blucher, 2021. p. 1647-1659. (Blucher Engineering Proceedings, v. 8, n. 2). </w:t>
      </w:r>
      <w:r>
        <w:t>DOI: 10.5151/v-enei-731.</w:t>
      </w:r>
    </w:p>
    <w:p w14:paraId="14C86E41" w14:textId="77777777" w:rsidR="00B47382" w:rsidRDefault="00000000">
      <w:pPr>
        <w:keepLines/>
        <w:spacing w:after="240"/>
      </w:pPr>
      <w:r>
        <w:t xml:space="preserve">TRIBUNAL DE JUSTIÇA DA UNIÃO EUROPEIA (TJUE). </w:t>
      </w:r>
      <w:r>
        <w:rPr>
          <w:i/>
          <w:iCs/>
        </w:rPr>
        <w:t>Comunicado de imprensa n. 135/26</w:t>
      </w:r>
      <w:r>
        <w:t>: o Vice-Presidente do Tribunal de Justiça indefere o pedido da Polónia relativo à suspensão da execução da Decisão do Conselho que autorizou a aplicação provisória do Acordo Provisório UE-Mercosul sobre comércio. Luxemburgo: TJUE, 29 set. 2026. Disponível em: https://curia.europa.eu/site/upload/docs/application/pdf/2026-09/cp260135pt.pdf. Acesso em: 8 out. 2026.</w:t>
      </w:r>
    </w:p>
    <w:sectPr w:rsidR="00B47382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701" w:header="709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C0254" w14:textId="77777777" w:rsidR="00886570" w:rsidRDefault="00886570">
      <w:r>
        <w:separator/>
      </w:r>
    </w:p>
  </w:endnote>
  <w:endnote w:type="continuationSeparator" w:id="0">
    <w:p w14:paraId="48E47790" w14:textId="77777777" w:rsidR="00886570" w:rsidRDefault="00886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E031A" w14:textId="77777777" w:rsidR="00B47382" w:rsidRDefault="00B4738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EE880" w14:textId="77777777" w:rsidR="00B47382" w:rsidRDefault="00B4738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A155F" w14:textId="77777777" w:rsidR="00886570" w:rsidRDefault="00886570">
      <w:r>
        <w:separator/>
      </w:r>
    </w:p>
  </w:footnote>
  <w:footnote w:type="continuationSeparator" w:id="0">
    <w:p w14:paraId="3E9446B9" w14:textId="77777777" w:rsidR="00886570" w:rsidRDefault="00886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0EB78" w14:textId="77777777" w:rsidR="00B4738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13050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C1CB4" w14:textId="77777777" w:rsidR="00B47382" w:rsidRDefault="00B473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9118A"/>
    <w:multiLevelType w:val="hybridMultilevel"/>
    <w:tmpl w:val="2EFAA0A0"/>
    <w:lvl w:ilvl="0" w:tplc="BAC221F2">
      <w:start w:val="1"/>
      <w:numFmt w:val="bullet"/>
      <w:lvlText w:val="●"/>
      <w:lvlJc w:val="left"/>
      <w:pPr>
        <w:ind w:left="720" w:hanging="360"/>
      </w:pPr>
    </w:lvl>
    <w:lvl w:ilvl="1" w:tplc="CA4420DC">
      <w:start w:val="1"/>
      <w:numFmt w:val="bullet"/>
      <w:lvlText w:val="○"/>
      <w:lvlJc w:val="left"/>
      <w:pPr>
        <w:ind w:left="1440" w:hanging="360"/>
      </w:pPr>
    </w:lvl>
    <w:lvl w:ilvl="2" w:tplc="150E1276">
      <w:start w:val="1"/>
      <w:numFmt w:val="bullet"/>
      <w:lvlText w:val="■"/>
      <w:lvlJc w:val="left"/>
      <w:pPr>
        <w:ind w:left="2160" w:hanging="360"/>
      </w:pPr>
    </w:lvl>
    <w:lvl w:ilvl="3" w:tplc="893C4232">
      <w:start w:val="1"/>
      <w:numFmt w:val="bullet"/>
      <w:lvlText w:val="●"/>
      <w:lvlJc w:val="left"/>
      <w:pPr>
        <w:ind w:left="2880" w:hanging="360"/>
      </w:pPr>
    </w:lvl>
    <w:lvl w:ilvl="4" w:tplc="07D86746">
      <w:start w:val="1"/>
      <w:numFmt w:val="bullet"/>
      <w:lvlText w:val="○"/>
      <w:lvlJc w:val="left"/>
      <w:pPr>
        <w:ind w:left="3600" w:hanging="360"/>
      </w:pPr>
    </w:lvl>
    <w:lvl w:ilvl="5" w:tplc="43EE8152">
      <w:start w:val="1"/>
      <w:numFmt w:val="bullet"/>
      <w:lvlText w:val="■"/>
      <w:lvlJc w:val="left"/>
      <w:pPr>
        <w:ind w:left="4320" w:hanging="360"/>
      </w:pPr>
    </w:lvl>
    <w:lvl w:ilvl="6" w:tplc="B2589200">
      <w:start w:val="1"/>
      <w:numFmt w:val="bullet"/>
      <w:lvlText w:val="●"/>
      <w:lvlJc w:val="left"/>
      <w:pPr>
        <w:ind w:left="5040" w:hanging="360"/>
      </w:pPr>
    </w:lvl>
    <w:lvl w:ilvl="7" w:tplc="8D100CCC">
      <w:start w:val="1"/>
      <w:numFmt w:val="bullet"/>
      <w:lvlText w:val="●"/>
      <w:lvlJc w:val="left"/>
      <w:pPr>
        <w:ind w:left="5760" w:hanging="360"/>
      </w:pPr>
    </w:lvl>
    <w:lvl w:ilvl="8" w:tplc="506251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0B6921"/>
    <w:multiLevelType w:val="multilevel"/>
    <w:tmpl w:val="D4DC7C1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eastAsia="Times New Roman" w:hAnsi="Times New Roman" w:cs="Times New Roman"/>
        <w:i/>
        <w:iCs/>
        <w:sz w:val="24"/>
        <w:szCs w:val="24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82614817">
    <w:abstractNumId w:val="0"/>
    <w:lvlOverride w:ilvl="0">
      <w:startOverride w:val="1"/>
    </w:lvlOverride>
  </w:num>
  <w:num w:numId="2" w16cid:durableId="16085850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382"/>
    <w:rsid w:val="001034A7"/>
    <w:rsid w:val="00513050"/>
    <w:rsid w:val="00536B54"/>
    <w:rsid w:val="0072704C"/>
    <w:rsid w:val="00886570"/>
    <w:rsid w:val="00B47382"/>
    <w:rsid w:val="00DE0ECF"/>
    <w:rsid w:val="00F1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96530"/>
  <w15:docId w15:val="{0BC26D01-7B9C-4AA5-B4D7-540372FE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outlineLvl w:val="2"/>
    </w:pPr>
    <w:rPr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130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gov.br/siscomex/pt-br/acordos-comerciais/arquivos/2026/acordo-mercosul-uniao-europeia/factsheet-acordo-mercosul-ue-editado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2562</Words>
  <Characters>13835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Roteiro preliminar – Acordo Mercosul-União Europeia (CX904)</vt:lpstr>
    </vt:vector>
  </TitlesOfParts>
  <Company/>
  <LinksUpToDate>false</LinksUpToDate>
  <CharactersWithSpaces>16365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preliminar – Acordo Mercosul-União Europeia (CX904)</dc:title>
  <dc:creator>Alan Araújo Lima, Nathan Pereira e Matteo Lucato</dc:creator>
  <cp:lastModifiedBy>Lima, Alan</cp:lastModifiedBy>
  <cp:revision>2</cp:revision>
  <dcterms:created xsi:type="dcterms:W3CDTF">2026-10-08T04:28:00Z</dcterms:created>
  <dcterms:modified xsi:type="dcterms:W3CDTF">2026-10-08T04:28:00Z</dcterms:modified>
</cp:coreProperties>
</file>