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864"/>
          <w:sz w:val="40"/>
          <w:szCs w:val="40"/>
        </w:rPr>
        <w:t xml:space="preserve">ESCALABILIDAD TRANSACCIONAL EN ARQUITECTURAS CLOUD-NATIVE</w:t>
      </w:r>
    </w:p>
    <w:p>
      <w:pPr>
        <w:spacing w:after="200" w:before="200"/>
        <w:jc w:val="center"/>
      </w:pPr>
      <w:r>
        <w:rPr>
          <w:rFonts w:ascii="Calibri" w:cs="Calibri" w:eastAsia="Calibri" w:hAnsi="Calibri"/>
          <w:i/>
          <w:iCs/>
          <w:color w:val="2E74B5"/>
          <w:sz w:val="26"/>
          <w:szCs w:val="26"/>
        </w:rPr>
        <w:t xml:space="preserve">Un caso de éxito sobre Kubernetes y Red Hat OpenShift para el procesamiento de 1 a 10 millones de transacciones</w:t>
      </w:r>
    </w:p>
    <w:p>
      <w:pPr>
        <w:spacing w:before="1200"/>
      </w:pPr>
    </w:p>
    <w:p>
      <w:pPr>
        <w:jc w:val="center"/>
      </w:pPr>
      <w:r>
        <w:rPr>
          <w:rFonts w:ascii="Calibri" w:cs="Calibri" w:eastAsia="Calibri" w:hAnsi="Calibri"/>
          <w:color w:val="595959"/>
          <w:sz w:val="22"/>
          <w:szCs w:val="22"/>
        </w:rPr>
        <w:t xml:space="preserve">Trabajo de investigación presentado para Seminario</w:t>
      </w:r>
    </w:p>
    <w:p>
      <w:pPr>
        <w:spacing w:before="1600"/>
        <w:jc w:val="center"/>
      </w:pPr>
      <w:r>
        <w:rPr>
          <w:rFonts w:ascii="Calibri" w:cs="Calibri" w:eastAsia="Calibri" w:hAnsi="Calibri"/>
          <w:color w:val="595959"/>
          <w:sz w:val="22"/>
          <w:szCs w:val="22"/>
        </w:rPr>
        <w:t xml:space="preserve">Agosto de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Introducción y Justificación</w:t>
      </w:r>
    </w:p>
    <w:p>
      <w:pPr>
        <w:spacing w:after="160" w:line="276"/>
        <w:jc w:val="both"/>
      </w:pPr>
      <w:r>
        <w:rPr>
          <w:rFonts w:ascii="Calibri" w:cs="Calibri" w:eastAsia="Calibri" w:hAnsi="Calibri"/>
          <w:sz w:val="22"/>
          <w:szCs w:val="22"/>
        </w:rPr>
        <w:t xml:space="preserve">Las organizaciones que operan sistemas transaccionales de alto volumen —banca digital, comercio electrónico, pasarelas de pago, plataformas de telecomunicaciones— enfrentan un reto común: crecer en volumen de transacciones sin degradar la experiencia del usuario ni incrementar el costo operativo de forma desproporcionada. Las arquitecturas monolíticas tradicionales, desplegadas sobre infraestructura estática, alcanzan rápidamente un techo de escalabilidad que obliga a sobredimensionar recursos de forma preventiva, generando ineficiencia.</w:t>
      </w:r>
    </w:p>
    <w:p>
      <w:pPr>
        <w:spacing w:after="160" w:line="276"/>
        <w:jc w:val="both"/>
      </w:pPr>
      <w:r>
        <w:rPr>
          <w:rFonts w:ascii="Calibri" w:cs="Calibri" w:eastAsia="Calibri" w:hAnsi="Calibri"/>
          <w:sz w:val="22"/>
          <w:szCs w:val="22"/>
        </w:rPr>
        <w:t xml:space="preserve">Kubernetes, como estándar de facto para la orquestación de contenedores, y Red Hat OpenShift, como su distribución empresarial, ofrecen mecanismos declarativos de autoescalado, resiliencia y observabilidad que prometen resolver este problema. Sin embargo, la literatura técnica rara vez cuantifica el comportamiento real de estas plataformas bajo cargas transaccionales crecientes y controladas.</w:t>
      </w:r>
    </w:p>
    <w:p>
      <w:pPr>
        <w:spacing w:after="160" w:line="276"/>
        <w:jc w:val="both"/>
      </w:pPr>
      <w:r>
        <w:rPr>
          <w:rFonts w:ascii="Calibri" w:cs="Calibri" w:eastAsia="Calibri" w:hAnsi="Calibri"/>
          <w:sz w:val="22"/>
          <w:szCs w:val="22"/>
        </w:rPr>
        <w:t xml:space="preserve">Este trabajo busca cerrar esa brecha mediante la construcción de un caso de éxito medible: el despliegue de una aplicación transaccional sobre OpenShift sometida a una carga incremental de 1 a 10 millones de transacciones, con el fin de comprobar si la arquitectura propuesta sostiene los niveles de servicio (SLA) definidos a medida que el volumen crece en un orden de magnitud.</w:t>
      </w:r>
    </w:p>
    <w:p>
      <w:pPr>
        <w:pStyle w:val="Heading1"/>
        <w:spacing w:after="200" w:before="400"/>
      </w:pPr>
      <w:r>
        <w:t xml:space="preserve">2. Marco Teórico</w:t>
      </w:r>
    </w:p>
    <w:p>
      <w:pPr>
        <w:pStyle w:val="Heading2"/>
        <w:spacing w:after="150" w:before="300"/>
      </w:pPr>
      <w:r>
        <w:t xml:space="preserve">2.1 Kubernetes: arquitectura y componentes</w:t>
      </w:r>
    </w:p>
    <w:p>
      <w:pPr>
        <w:spacing w:after="160" w:line="276"/>
        <w:jc w:val="both"/>
      </w:pPr>
      <w:r>
        <w:rPr>
          <w:rFonts w:ascii="Calibri" w:cs="Calibri" w:eastAsia="Calibri" w:hAnsi="Calibri"/>
          <w:sz w:val="22"/>
          <w:szCs w:val="22"/>
        </w:rPr>
        <w:t xml:space="preserve">Kubernetes organiza su arquitectura en dos planos. El plano de control (Control Plane) está compuesto por el API Server, que expone la interfaz declarativa del clúster; etcd, el almacén clave-valor distribuido que persiste el estado deseado del sistema; el Scheduler, que asigna cargas de trabajo a los nodos disponibles según restricciones de recursos y afinidad; y el Controller Manager, que reconcilia continuamente el estado real con el estado deseado.</w:t>
      </w:r>
    </w:p>
    <w:p>
      <w:pPr>
        <w:spacing w:after="160" w:line="276"/>
        <w:jc w:val="both"/>
      </w:pPr>
      <w:r>
        <w:rPr>
          <w:rFonts w:ascii="Calibri" w:cs="Calibri" w:eastAsia="Calibri" w:hAnsi="Calibri"/>
          <w:sz w:val="22"/>
          <w:szCs w:val="22"/>
        </w:rPr>
        <w:t xml:space="preserve">El plano de datos está formado por los nodos de trabajo (worker nodes), cada uno con un kubelet que gestiona el ciclo de vida de los contenedores, un kube-proxy que administra las reglas de red, y un runtime de contenedores (containerd o CRI-O) responsable de ejecutar las imágenes.</w:t>
      </w:r>
    </w:p>
    <w:p>
      <w:pPr>
        <w:pStyle w:val="Heading3"/>
        <w:spacing w:after="100" w:before="200"/>
      </w:pPr>
      <w:r>
        <w:t xml:space="preserve">2.1.1 Objetos fundamentales</w:t>
      </w:r>
    </w:p>
    <w:p>
      <w:pPr>
        <w:pStyle w:val="ListParagraph"/>
        <w:numPr>
          <w:ilvl w:val="0"/>
          <w:numId w:val="2"/>
        </w:numPr>
        <w:spacing w:after="80"/>
      </w:pPr>
      <w:r>
        <w:rPr>
          <w:rFonts w:ascii="Calibri" w:cs="Calibri" w:eastAsia="Calibri" w:hAnsi="Calibri"/>
          <w:sz w:val="22"/>
          <w:szCs w:val="22"/>
        </w:rPr>
        <w:t xml:space="preserve">Pod: la unidad mínima de despliegue; agrupa uno o más contenedores que comparten red y almacenamiento.</w:t>
      </w:r>
    </w:p>
    <w:p>
      <w:pPr>
        <w:pStyle w:val="ListParagraph"/>
        <w:numPr>
          <w:ilvl w:val="0"/>
          <w:numId w:val="2"/>
        </w:numPr>
        <w:spacing w:after="80"/>
      </w:pPr>
      <w:r>
        <w:rPr>
          <w:rFonts w:ascii="Calibri" w:cs="Calibri" w:eastAsia="Calibri" w:hAnsi="Calibri"/>
          <w:sz w:val="22"/>
          <w:szCs w:val="22"/>
        </w:rPr>
        <w:t xml:space="preserve">Deployment: gestiona réplicas de Pods sin estado y sus actualizaciones progresivas (rolling updates).</w:t>
      </w:r>
    </w:p>
    <w:p>
      <w:pPr>
        <w:pStyle w:val="ListParagraph"/>
        <w:numPr>
          <w:ilvl w:val="0"/>
          <w:numId w:val="2"/>
        </w:numPr>
        <w:spacing w:after="80"/>
      </w:pPr>
      <w:r>
        <w:rPr>
          <w:rFonts w:ascii="Calibri" w:cs="Calibri" w:eastAsia="Calibri" w:hAnsi="Calibri"/>
          <w:sz w:val="22"/>
          <w:szCs w:val="22"/>
        </w:rPr>
        <w:t xml:space="preserve">StatefulSet: gestiona cargas con estado (bases de datos), garantizando identidad de red estable y almacenamiento persistente por réplica.</w:t>
      </w:r>
    </w:p>
    <w:p>
      <w:pPr>
        <w:pStyle w:val="ListParagraph"/>
        <w:numPr>
          <w:ilvl w:val="0"/>
          <w:numId w:val="2"/>
        </w:numPr>
        <w:spacing w:after="80"/>
      </w:pPr>
      <w:r>
        <w:rPr>
          <w:rFonts w:ascii="Calibri" w:cs="Calibri" w:eastAsia="Calibri" w:hAnsi="Calibri"/>
          <w:sz w:val="22"/>
          <w:szCs w:val="22"/>
        </w:rPr>
        <w:t xml:space="preserve">Service: abstrae el acceso de red a un conjunto de Pods mediante un nombre y una IP virtual estables.</w:t>
      </w:r>
    </w:p>
    <w:p>
      <w:pPr>
        <w:pStyle w:val="ListParagraph"/>
        <w:numPr>
          <w:ilvl w:val="0"/>
          <w:numId w:val="2"/>
        </w:numPr>
        <w:spacing w:after="80"/>
      </w:pPr>
      <w:r>
        <w:rPr>
          <w:rFonts w:ascii="Calibri" w:cs="Calibri" w:eastAsia="Calibri" w:hAnsi="Calibri"/>
          <w:sz w:val="22"/>
          <w:szCs w:val="22"/>
        </w:rPr>
        <w:t xml:space="preserve">Ingress / Route: expone servicios HTTP/HTTPS al exterior del clúster con reglas de enrutamiento.</w:t>
      </w:r>
    </w:p>
    <w:p>
      <w:pPr>
        <w:pStyle w:val="Heading2"/>
        <w:spacing w:after="150" w:before="300"/>
      </w:pPr>
      <w:r>
        <w:t xml:space="preserve">2.2 Mecanismos de escalabilidad</w:t>
      </w:r>
    </w:p>
    <w:p>
      <w:pPr>
        <w:spacing w:after="160" w:line="276"/>
        <w:jc w:val="both"/>
      </w:pPr>
      <w:r>
        <w:rPr>
          <w:rFonts w:ascii="Calibri" w:cs="Calibri" w:eastAsia="Calibri" w:hAnsi="Calibri"/>
          <w:sz w:val="22"/>
          <w:szCs w:val="22"/>
        </w:rPr>
        <w:t xml:space="preserve">La escalabilidad en Kubernetes opera en tres niveles complementarios. El Horizontal Pod Autoscaler (HPA) ajusta el número de réplicas de un Deployment en función de métricas de CPU, memoria o métricas personalizadas —como transacciones por segundo, expuestas vía Prometheus Adapter—. El Vertical Pod Autoscaler (VPA) ajusta los recursos asignados a cada Pod individual. El Cluster Autoscaler añade o elimina nodos del clúster según la demanda agregada de recursos que el Scheduler no puede satisfacer con la capacidad existente.</w:t>
      </w:r>
    </w:p>
    <w:p>
      <w:pPr>
        <w:spacing w:after="160" w:line="276"/>
        <w:jc w:val="both"/>
      </w:pPr>
      <w:r>
        <w:rPr>
          <w:rFonts w:ascii="Calibri" w:cs="Calibri" w:eastAsia="Calibri" w:hAnsi="Calibri"/>
          <w:sz w:val="22"/>
          <w:szCs w:val="22"/>
        </w:rPr>
        <w:t xml:space="preserve">Para cargas orientadas a eventos, KEDA (Kubernetes Event-Driven Autoscaling) permite escalar en función de la profundidad de una cola de mensajes o el rezago de un topic de Kafka, lo cual resulta especialmente pertinente en sistemas transaccionales donde la ingesta ocurre de forma asíncrona.</w:t>
      </w:r>
    </w:p>
    <w:p>
      <w:pPr>
        <w:pStyle w:val="Heading2"/>
        <w:spacing w:after="150" w:before="300"/>
      </w:pPr>
      <w:r>
        <w:t xml:space="preserve">2.3 Resiliencia y disponibilidad</w:t>
      </w:r>
    </w:p>
    <w:p>
      <w:pPr>
        <w:spacing w:after="160" w:line="276"/>
        <w:jc w:val="both"/>
      </w:pPr>
      <w:r>
        <w:rPr>
          <w:rFonts w:ascii="Calibri" w:cs="Calibri" w:eastAsia="Calibri" w:hAnsi="Calibri"/>
          <w:sz w:val="22"/>
          <w:szCs w:val="22"/>
        </w:rPr>
        <w:t xml:space="preserve">La resiliencia se sustenta en probes de verificación —liveness, readiness y startup— que permiten a Kubernetes detectar y reemplazar instancias no saludables sin intervención manual. Los PodDisruptionBudgets garantizan un número mínimo de réplicas activas durante mantenimientos planificados, y la distribución multi-zona reduce el riesgo de una falla correlacionada de infraestructura.</w:t>
      </w:r>
    </w:p>
    <w:p>
      <w:pPr>
        <w:pStyle w:val="Heading2"/>
        <w:spacing w:after="150" w:before="300"/>
      </w:pPr>
      <w:r>
        <w:t xml:space="preserve">2.4 Persistencia y el teorema CAP en contextos transaccionales</w:t>
      </w:r>
    </w:p>
    <w:p>
      <w:pPr>
        <w:spacing w:after="160" w:line="276"/>
        <w:jc w:val="both"/>
      </w:pPr>
      <w:r>
        <w:rPr>
          <w:rFonts w:ascii="Calibri" w:cs="Calibri" w:eastAsia="Calibri" w:hAnsi="Calibri"/>
          <w:sz w:val="22"/>
          <w:szCs w:val="22"/>
        </w:rPr>
        <w:t xml:space="preserve">Los sistemas transaccionales exigen garantías ACID (atomicidad, consistencia, aislamiento, durabilidad) que entran en tensión con la escalabilidad horizontal, tal como formaliza el teorema CAP: un sistema distribuido no puede garantizar simultáneamente consistencia, disponibilidad y tolerancia a particiones. El diseño del caso de éxito debe declarar explícitamente qué compromiso (trade-off) asume —por ejemplo, consistencia eventual en el procesamiento asíncrono y consistencia fuerte en la escritura final— y justificarlo frente al volumen transaccional objetivo.</w:t>
      </w:r>
    </w:p>
    <w:p>
      <w:pPr>
        <w:pStyle w:val="Heading2"/>
        <w:spacing w:after="150" w:before="300"/>
      </w:pPr>
      <w:r>
        <w:t xml:space="preserve">2.5 Red Hat OpenShift</w:t>
      </w:r>
    </w:p>
    <w:p>
      <w:pPr>
        <w:spacing w:after="160" w:line="276"/>
        <w:jc w:val="both"/>
      </w:pPr>
      <w:r>
        <w:rPr>
          <w:rFonts w:ascii="Calibri" w:cs="Calibri" w:eastAsia="Calibri" w:hAnsi="Calibri"/>
          <w:sz w:val="22"/>
          <w:szCs w:val="22"/>
        </w:rPr>
        <w:t xml:space="preserve">OpenShift es la plataforma de aplicaciones empresarial de Red Hat construida sobre Kubernetes. Añade capas de seguridad, gobernanza y productividad para el desarrollador que resultan relevantes para un entorno productivo de alto volumen transaccional.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Componente</w:t>
            </w:r>
          </w:p>
        </w:tc>
        <w:tc>
          <w:tcPr>
            <w:tcW w:type="dxa" w:w="5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Función en el caso de éxito</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Security Context Constraints (SCC)</w:t>
            </w:r>
          </w:p>
        </w:tc>
        <w:tc>
          <w:tcPr>
            <w:tcW w:type="dxa" w:w="5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Refuerzan el aislamiento de contenedores más allá de las políticas por defecto de Kubernetes, reduciendo la superficie de ataque en cargas que procesan datos sensibles.</w:t>
            </w:r>
          </w:p>
        </w:tc>
      </w:tr>
      <w:tr>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OpenShift Service Mesh (Istio)</w:t>
            </w:r>
          </w:p>
        </w:tc>
        <w:tc>
          <w:tcPr>
            <w:tcW w:type="dxa" w:w="5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Provee enrutamiento inteligente, circuit breakers, reintentos automáticos y observabilidad de la malla de microservicios sin modificar el código de la aplicación.</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OpenShift Pipelines (Tekton)</w:t>
            </w:r>
          </w:p>
        </w:tc>
        <w:tc>
          <w:tcPr>
            <w:tcW w:type="dxa" w:w="5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Automatiza la integración y el despliegue continuo, permitiendo repetir el experimento de carga de forma reproducible entre corridas.</w:t>
            </w:r>
          </w:p>
        </w:tc>
      </w:tr>
      <w:tr>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Operators / OperatorHub</w:t>
            </w:r>
          </w:p>
        </w:tc>
        <w:tc>
          <w:tcPr>
            <w:tcW w:type="dxa" w:w="5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Gestionan de forma declarativa el ciclo de vida de dependencias con estado, como bases de datos o clústeres de Kafka (AMQ Streams).</w:t>
            </w:r>
          </w:p>
        </w:tc>
      </w:tr>
      <w:tr>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Monitoring Stack (Prometheus/Grafana integrado)</w:t>
            </w:r>
          </w:p>
        </w:tc>
        <w:tc>
          <w:tcPr>
            <w:tcW w:type="dxa" w:w="5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Provee la instrumentación base para medir las variables dependientes del experimento.</w:t>
            </w:r>
          </w:p>
        </w:tc>
      </w:tr>
    </w:tbl>
    <w:p>
      <w:pPr>
        <w:pStyle w:val="Heading1"/>
        <w:spacing w:after="200" w:before="400"/>
      </w:pPr>
      <w:r>
        <w:t xml:space="preserve">3. Estado del Arte</w:t>
      </w:r>
    </w:p>
    <w:p>
      <w:pPr>
        <w:spacing w:after="160" w:line="276"/>
        <w:jc w:val="both"/>
      </w:pPr>
      <w:r>
        <w:rPr>
          <w:rFonts w:ascii="Calibri" w:cs="Calibri" w:eastAsia="Calibri" w:hAnsi="Calibri"/>
          <w:sz w:val="22"/>
          <w:szCs w:val="22"/>
        </w:rPr>
        <w:t xml:space="preserve">Diversas organizaciones han publicado experiencias de migración de sistemas transaccionales hacia arquitecturas basadas en contenedores, reportando mejoras en elasticidad y reducción de costos operativos frente a infraestructura estática. Sin embargo, gran parte de esta evidencia es de naturaleza cualitativa o corresponde a comunicados de la industria, con escasa documentación del diseño experimental, las variables controladas o el método de medición empleado.</w:t>
      </w:r>
    </w:p>
    <w:p>
      <w:pPr>
        <w:spacing w:after="160" w:line="276"/>
        <w:jc w:val="both"/>
      </w:pPr>
      <w:r>
        <w:rPr>
          <w:rFonts w:ascii="Calibri" w:cs="Calibri" w:eastAsia="Calibri" w:hAnsi="Calibri"/>
          <w:sz w:val="22"/>
          <w:szCs w:val="22"/>
        </w:rPr>
        <w:t xml:space="preserve">Este trabajo se diferencia al proponer un diseño experimental explícito, con variables independientes y dependientes declaradas, corridas repetidas y un punto de quiebre (breaking point) identificado empíricamente, en lugar de limitarse a reportar una migración exitosa de manera descriptiva.</w:t>
      </w:r>
    </w:p>
    <w:p>
      <w:pPr>
        <w:pStyle w:val="Heading1"/>
        <w:spacing w:after="200" w:before="400"/>
      </w:pPr>
      <w:r>
        <w:t xml:space="preserve">4. Metodología de Investigación</w:t>
      </w:r>
    </w:p>
    <w:p>
      <w:pPr>
        <w:pStyle w:val="Heading2"/>
        <w:spacing w:after="150" w:before="300"/>
      </w:pPr>
      <w:r>
        <w:t xml:space="preserve">4.1 Pregunta de investigación</w:t>
      </w:r>
    </w:p>
    <w:p>
      <w:pPr>
        <w:spacing w:after="160" w:line="276"/>
        <w:jc w:val="both"/>
      </w:pPr>
      <w:r>
        <w:rPr>
          <w:rFonts w:ascii="Calibri" w:cs="Calibri" w:eastAsia="Calibri" w:hAnsi="Calibri"/>
          <w:sz w:val="22"/>
          <w:szCs w:val="22"/>
        </w:rPr>
        <w:t xml:space="preserve">¿Puede una arquitectura de microservicios desplegada sobre Red Hat OpenShift, apoyada en autoescalado horizontal y particionamiento de mensajería, sostener un incremento de volumen transaccional de 1 a 10 millones de transacciones manteniendo los niveles de servicio (SLA) de latencia y disponibilidad definidos como aceptables?</w:t>
      </w:r>
    </w:p>
    <w:p>
      <w:pPr>
        <w:pStyle w:val="Heading2"/>
        <w:spacing w:after="150" w:before="300"/>
      </w:pPr>
      <w:r>
        <w:t xml:space="preserve">4.2 Hipótesis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Hipótesis</w:t>
            </w:r>
          </w:p>
        </w:tc>
        <w:tc>
          <w:tcPr>
            <w:tcW w:type="dxa" w:w="6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Enunciado</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H0 (nula)</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incremento del volumen transaccional de 1 a 10 millones degrada la latencia p95/p99 y la tasa de error por encima del SLA definido, independientemente del autoescalado habilitado.</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H1 (alterna)</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arquitectura propuesta, con autoescalado horizontal y particionamiento de mensajería, sostiene el SLA de latencia y disponibilidad a través de todo el rango de 1 a 10 millones de transacciones.</w:t>
            </w:r>
          </w:p>
        </w:tc>
      </w:tr>
    </w:tbl>
    <w:p>
      <w:pPr>
        <w:pStyle w:val="Heading2"/>
        <w:spacing w:after="150" w:before="300"/>
      </w:pPr>
      <w:r>
        <w:t xml:space="preserve">4.3 Variables del experimento</w:t>
      </w:r>
    </w:p>
    <w:p>
      <w:pPr>
        <w:pStyle w:val="Heading3"/>
        <w:spacing w:after="100" w:before="200"/>
      </w:pPr>
      <w:r>
        <w:t xml:space="preserve">4.3.1 Variable independiente</w:t>
      </w:r>
    </w:p>
    <w:p>
      <w:pPr>
        <w:pStyle w:val="ListParagraph"/>
        <w:numPr>
          <w:ilvl w:val="0"/>
          <w:numId w:val="2"/>
        </w:numPr>
        <w:spacing w:after="80"/>
      </w:pPr>
      <w:r>
        <w:rPr>
          <w:rFonts w:ascii="Calibri" w:cs="Calibri" w:eastAsia="Calibri" w:hAnsi="Calibri"/>
          <w:sz w:val="22"/>
          <w:szCs w:val="22"/>
        </w:rPr>
        <w:t xml:space="preserve">Volumen de transacciones inyectadas, en niveles escalonados: 1M, 2.5M, 5M, 7.5M y 10M.</w:t>
      </w:r>
    </w:p>
    <w:p>
      <w:pPr>
        <w:pStyle w:val="Heading3"/>
        <w:spacing w:after="100" w:before="200"/>
      </w:pPr>
      <w:r>
        <w:t xml:space="preserve">4.3.2 Variables dependientes</w:t>
      </w:r>
    </w:p>
    <w:p>
      <w:pPr>
        <w:pStyle w:val="ListParagraph"/>
        <w:numPr>
          <w:ilvl w:val="0"/>
          <w:numId w:val="2"/>
        </w:numPr>
        <w:spacing w:after="80"/>
      </w:pPr>
      <w:r>
        <w:rPr>
          <w:rFonts w:ascii="Calibri" w:cs="Calibri" w:eastAsia="Calibri" w:hAnsi="Calibri"/>
          <w:sz w:val="22"/>
          <w:szCs w:val="22"/>
        </w:rPr>
        <w:t xml:space="preserve">Throughput sostenido (transacciones por segundo, TPS).</w:t>
      </w:r>
    </w:p>
    <w:p>
      <w:pPr>
        <w:pStyle w:val="ListParagraph"/>
        <w:numPr>
          <w:ilvl w:val="0"/>
          <w:numId w:val="2"/>
        </w:numPr>
        <w:spacing w:after="80"/>
      </w:pPr>
      <w:r>
        <w:rPr>
          <w:rFonts w:ascii="Calibri" w:cs="Calibri" w:eastAsia="Calibri" w:hAnsi="Calibri"/>
          <w:sz w:val="22"/>
          <w:szCs w:val="22"/>
        </w:rPr>
        <w:t xml:space="preserve">Latencia percentil 95 y percentil 99 (ms).</w:t>
      </w:r>
    </w:p>
    <w:p>
      <w:pPr>
        <w:pStyle w:val="ListParagraph"/>
        <w:numPr>
          <w:ilvl w:val="0"/>
          <w:numId w:val="2"/>
        </w:numPr>
        <w:spacing w:after="80"/>
      </w:pPr>
      <w:r>
        <w:rPr>
          <w:rFonts w:ascii="Calibri" w:cs="Calibri" w:eastAsia="Calibri" w:hAnsi="Calibri"/>
          <w:sz w:val="22"/>
          <w:szCs w:val="22"/>
        </w:rPr>
        <w:t xml:space="preserve">Tasa de error transaccional (%).</w:t>
      </w:r>
    </w:p>
    <w:p>
      <w:pPr>
        <w:pStyle w:val="ListParagraph"/>
        <w:numPr>
          <w:ilvl w:val="0"/>
          <w:numId w:val="2"/>
        </w:numPr>
        <w:spacing w:after="80"/>
      </w:pPr>
      <w:r>
        <w:rPr>
          <w:rFonts w:ascii="Calibri" w:cs="Calibri" w:eastAsia="Calibri" w:hAnsi="Calibri"/>
          <w:sz w:val="22"/>
          <w:szCs w:val="22"/>
        </w:rPr>
        <w:t xml:space="preserve">Número de réplicas activas por servicio a lo largo del tiempo (comportamiento del HPA).</w:t>
      </w:r>
    </w:p>
    <w:p>
      <w:pPr>
        <w:pStyle w:val="ListParagraph"/>
        <w:numPr>
          <w:ilvl w:val="0"/>
          <w:numId w:val="2"/>
        </w:numPr>
        <w:spacing w:after="80"/>
      </w:pPr>
      <w:r>
        <w:rPr>
          <w:rFonts w:ascii="Calibri" w:cs="Calibri" w:eastAsia="Calibri" w:hAnsi="Calibri"/>
          <w:sz w:val="22"/>
          <w:szCs w:val="22"/>
        </w:rPr>
        <w:t xml:space="preserve">Consumo de CPU y memoria por nodo y por pod.</w:t>
      </w:r>
    </w:p>
    <w:p>
      <w:pPr>
        <w:pStyle w:val="ListParagraph"/>
        <w:numPr>
          <w:ilvl w:val="0"/>
          <w:numId w:val="2"/>
        </w:numPr>
        <w:spacing w:after="80"/>
      </w:pPr>
      <w:r>
        <w:rPr>
          <w:rFonts w:ascii="Calibri" w:cs="Calibri" w:eastAsia="Calibri" w:hAnsi="Calibri"/>
          <w:sz w:val="22"/>
          <w:szCs w:val="22"/>
        </w:rPr>
        <w:t xml:space="preserve">Costo estimado de infraestructura por nivel de carga.</w:t>
      </w:r>
    </w:p>
    <w:p>
      <w:pPr>
        <w:pStyle w:val="Heading3"/>
        <w:spacing w:after="100" w:before="200"/>
      </w:pPr>
      <w:r>
        <w:t xml:space="preserve">4.3.3 Variables controladas</w:t>
      </w:r>
    </w:p>
    <w:p>
      <w:pPr>
        <w:pStyle w:val="ListParagraph"/>
        <w:numPr>
          <w:ilvl w:val="0"/>
          <w:numId w:val="2"/>
        </w:numPr>
        <w:spacing w:after="80"/>
      </w:pPr>
      <w:r>
        <w:rPr>
          <w:rFonts w:ascii="Calibri" w:cs="Calibri" w:eastAsia="Calibri" w:hAnsi="Calibri"/>
          <w:sz w:val="22"/>
          <w:szCs w:val="22"/>
        </w:rPr>
        <w:t xml:space="preserve">Tamaño y configuración del clúster (número de nodos, clase de instancia).</w:t>
      </w:r>
    </w:p>
    <w:p>
      <w:pPr>
        <w:pStyle w:val="ListParagraph"/>
        <w:numPr>
          <w:ilvl w:val="0"/>
          <w:numId w:val="2"/>
        </w:numPr>
        <w:spacing w:after="80"/>
      </w:pPr>
      <w:r>
        <w:rPr>
          <w:rFonts w:ascii="Calibri" w:cs="Calibri" w:eastAsia="Calibri" w:hAnsi="Calibri"/>
          <w:sz w:val="22"/>
          <w:szCs w:val="22"/>
        </w:rPr>
        <w:t xml:space="preserve">Límites y solicitudes de recursos (resource requests/limits) por pod.</w:t>
      </w:r>
    </w:p>
    <w:p>
      <w:pPr>
        <w:pStyle w:val="ListParagraph"/>
        <w:numPr>
          <w:ilvl w:val="0"/>
          <w:numId w:val="2"/>
        </w:numPr>
        <w:spacing w:after="80"/>
      </w:pPr>
      <w:r>
        <w:rPr>
          <w:rFonts w:ascii="Calibri" w:cs="Calibri" w:eastAsia="Calibri" w:hAnsi="Calibri"/>
          <w:sz w:val="22"/>
          <w:szCs w:val="22"/>
        </w:rPr>
        <w:t xml:space="preserve">Versión de OpenShift, del motor de base de datos y del broker de mensajería.</w:t>
      </w:r>
    </w:p>
    <w:p>
      <w:pPr>
        <w:pStyle w:val="ListParagraph"/>
        <w:numPr>
          <w:ilvl w:val="0"/>
          <w:numId w:val="2"/>
        </w:numPr>
        <w:spacing w:after="80"/>
      </w:pPr>
      <w:r>
        <w:rPr>
          <w:rFonts w:ascii="Calibri" w:cs="Calibri" w:eastAsia="Calibri" w:hAnsi="Calibri"/>
          <w:sz w:val="22"/>
          <w:szCs w:val="22"/>
        </w:rPr>
        <w:t xml:space="preserve">Perfil de la transacción sintética (tamaño de payload, complejidad de negocio simulada).</w:t>
      </w:r>
    </w:p>
    <w:p>
      <w:pPr>
        <w:pStyle w:val="Heading2"/>
        <w:spacing w:after="150" w:before="300"/>
      </w:pPr>
      <w:r>
        <w:t xml:space="preserve">4.4 Diseño experimental</w:t>
      </w:r>
    </w:p>
    <w:p>
      <w:pPr>
        <w:spacing w:after="160" w:line="276"/>
        <w:jc w:val="both"/>
      </w:pPr>
      <w:r>
        <w:rPr>
          <w:rFonts w:ascii="Calibri" w:cs="Calibri" w:eastAsia="Calibri" w:hAnsi="Calibri"/>
          <w:sz w:val="22"/>
          <w:szCs w:val="22"/>
        </w:rPr>
        <w:t xml:space="preserve">El diseño sigue un esquema cuasi-experimental de medidas repetidas: cada nivel de carga se ejecuta un mínimo de tres corridas independientes para permitir el cálculo de medias, desviación estándar e intervalos de confianza, reduciendo el riesgo de que una anomalía puntual se interprete como comportamiento sistemático.</w:t>
      </w:r>
    </w:p>
    <w:p>
      <w:pPr>
        <w:spacing w:after="160" w:line="276"/>
        <w:jc w:val="both"/>
      </w:pPr>
      <w:r>
        <w:rPr>
          <w:rFonts w:ascii="Calibri" w:cs="Calibri" w:eastAsia="Calibri" w:hAnsi="Calibri"/>
          <w:sz w:val="22"/>
          <w:szCs w:val="22"/>
        </w:rPr>
        <w:t xml:space="preserve">Se contrastan dos condiciones experimentales por cada nivel de carga: una línea base (baseline) sin autoescalado habilitado, con capacidad fija, y la condición experimental con HPA, VPA y Cluster Autoscaler activos. Esta comparación permite aislar el efecto específico del autoescalado sobre las variables dependientes, en lugar de atribuir la mejora a la infraestructura en general.</w:t>
      </w:r>
    </w:p>
    <w:p>
      <w:pPr>
        <w:pStyle w:val="Heading2"/>
        <w:spacing w:after="150" w:before="300"/>
      </w:pPr>
      <w:r>
        <w:t xml:space="preserve">4.5 Instrumentación y recolección de datos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Herramienta</w:t>
            </w:r>
          </w:p>
        </w:tc>
        <w:tc>
          <w:tcPr>
            <w:tcW w:type="dxa" w:w="6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Propósito</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k6 / Gatling</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Generación de carga sintética escalonada y captura de métricas de cliente (latencia percibida, errores).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Prometheus + Grafana</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Recolección y visualización de métricas de infraestructura y comportamiento del autoescalado en tiempo real.</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Jaeger / OpenTelemetry</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Trazabilidad distribuida para identificar el servicio responsable de la latencia en cada tramo de la transacción.</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AMQ Streams (Kafka)</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Desacople entre ingesta y procesamiento; fuente de la métrica de rezago de consumidor usada por KEDA.</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Hojas de cálculo / Python (pandas)</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Consolidación de las corridas y cálculo de estadísticos descriptivos e inferenciales.</w:t>
            </w:r>
          </w:p>
        </w:tc>
      </w:tr>
    </w:tbl>
    <w:p>
      <w:pPr>
        <w:pStyle w:val="Heading2"/>
        <w:spacing w:after="150" w:before="300"/>
      </w:pPr>
      <w:r>
        <w:t xml:space="preserve">4.6 Plan de análisis de resultados</w:t>
      </w:r>
    </w:p>
    <w:p>
      <w:pPr>
        <w:pStyle w:val="ListParagraph"/>
        <w:numPr>
          <w:ilvl w:val="0"/>
          <w:numId w:val="3"/>
        </w:numPr>
        <w:spacing w:after="80"/>
      </w:pPr>
      <w:r>
        <w:rPr>
          <w:rFonts w:ascii="Calibri" w:cs="Calibri" w:eastAsia="Calibri" w:hAnsi="Calibri"/>
          <w:sz w:val="22"/>
          <w:szCs w:val="22"/>
        </w:rPr>
        <w:t xml:space="preserve">Verificar la linealidad (o no) entre el volumen de transacciones y la latencia observada, mediante inspección gráfica y regresión simple.</w:t>
      </w:r>
    </w:p>
    <w:p>
      <w:pPr>
        <w:pStyle w:val="ListParagraph"/>
        <w:numPr>
          <w:ilvl w:val="0"/>
          <w:numId w:val="3"/>
        </w:numPr>
        <w:spacing w:after="80"/>
      </w:pPr>
      <w:r>
        <w:rPr>
          <w:rFonts w:ascii="Calibri" w:cs="Calibri" w:eastAsia="Calibri" w:hAnsi="Calibri"/>
          <w:sz w:val="22"/>
          <w:szCs w:val="22"/>
        </w:rPr>
        <w:t xml:space="preserve">Identificar el punto de quiebre (breaking point): el nivel de carga en el cual la latencia o la tasa de error superan el umbral de SLA de forma sostenida.</w:t>
      </w:r>
    </w:p>
    <w:p>
      <w:pPr>
        <w:pStyle w:val="ListParagraph"/>
        <w:numPr>
          <w:ilvl w:val="0"/>
          <w:numId w:val="3"/>
        </w:numPr>
        <w:spacing w:after="80"/>
      </w:pPr>
      <w:r>
        <w:rPr>
          <w:rFonts w:ascii="Calibri" w:cs="Calibri" w:eastAsia="Calibri" w:hAnsi="Calibri"/>
          <w:sz w:val="22"/>
          <w:szCs w:val="22"/>
        </w:rPr>
        <w:t xml:space="preserve">Comparar estadísticamente la condición baseline contra la condición con autoescalado en cada nivel de carga (por ejemplo, mediante prueba t de Student para muestras independientes).</w:t>
      </w:r>
    </w:p>
    <w:p>
      <w:pPr>
        <w:pStyle w:val="ListParagraph"/>
        <w:numPr>
          <w:ilvl w:val="0"/>
          <w:numId w:val="3"/>
        </w:numPr>
        <w:spacing w:after="80"/>
      </w:pPr>
      <w:r>
        <w:rPr>
          <w:rFonts w:ascii="Calibri" w:cs="Calibri" w:eastAsia="Calibri" w:hAnsi="Calibri"/>
          <w:sz w:val="22"/>
          <w:szCs w:val="22"/>
        </w:rPr>
        <w:t xml:space="preserve">Correlacionar el consumo de recursos con el volumen procesado para estimar el costo marginal por millón de transacciones adicionales.</w:t>
      </w:r>
    </w:p>
    <w:p>
      <w:pPr>
        <w:pStyle w:val="ListParagraph"/>
        <w:numPr>
          <w:ilvl w:val="0"/>
          <w:numId w:val="3"/>
        </w:numPr>
        <w:spacing w:after="80"/>
      </w:pPr>
      <w:r>
        <w:rPr>
          <w:rFonts w:ascii="Calibri" w:cs="Calibri" w:eastAsia="Calibri" w:hAnsi="Calibri"/>
          <w:sz w:val="22"/>
          <w:szCs w:val="22"/>
        </w:rPr>
        <w:t xml:space="preserve">Aceptar o rechazar H0 con base en los resultados obtenidos en el nivel de carga máximo (10M), documentando cualquier desviación respecto al SLA.</w:t>
      </w:r>
    </w:p>
    <w:p>
      <w:pPr>
        <w:pStyle w:val="Heading1"/>
        <w:spacing w:after="200" w:before="400"/>
      </w:pPr>
      <w:r>
        <w:t xml:space="preserve">5. Arquitectura Propuesta para el Caso de Éxito</w:t>
      </w:r>
    </w:p>
    <w:p>
      <w:pPr>
        <w:spacing w:after="160" w:line="276"/>
        <w:jc w:val="both"/>
      </w:pPr>
      <w:r>
        <w:rPr>
          <w:rFonts w:ascii="Calibri" w:cs="Calibri" w:eastAsia="Calibri" w:hAnsi="Calibri"/>
          <w:sz w:val="22"/>
          <w:szCs w:val="22"/>
        </w:rPr>
        <w:t xml:space="preserve">La arquitectura de referencia adopta un patrón de ingesta asíncrona para desacoplar la recepción de la transacción de su procesamiento definitivo, lo cual permite absorber picos de carga sin comprometer la disponibilidad del punto de entrada.</w:t>
      </w:r>
    </w:p>
    <w:p>
      <w:pPr>
        <w:pStyle w:val="Heading3"/>
        <w:spacing w:after="100" w:before="200"/>
      </w:pPr>
      <w:r>
        <w:t xml:space="preserve">5.1 Componentes principales</w:t>
      </w:r>
    </w:p>
    <w:p>
      <w:pPr>
        <w:pStyle w:val="ListParagraph"/>
        <w:numPr>
          <w:ilvl w:val="0"/>
          <w:numId w:val="2"/>
        </w:numPr>
        <w:spacing w:after="80"/>
      </w:pPr>
      <w:r>
        <w:rPr>
          <w:rFonts w:ascii="Calibri" w:cs="Calibri" w:eastAsia="Calibri" w:hAnsi="Calibri"/>
          <w:sz w:val="22"/>
          <w:szCs w:val="22"/>
        </w:rPr>
        <w:t xml:space="preserve">Capa de entrada: Route/Ingress de OpenShift con balanceo de carga hacia un servicio de recepción stateless.</w:t>
      </w:r>
    </w:p>
    <w:p>
      <w:pPr>
        <w:pStyle w:val="ListParagraph"/>
        <w:numPr>
          <w:ilvl w:val="0"/>
          <w:numId w:val="2"/>
        </w:numPr>
        <w:spacing w:after="80"/>
      </w:pPr>
      <w:r>
        <w:rPr>
          <w:rFonts w:ascii="Calibri" w:cs="Calibri" w:eastAsia="Calibri" w:hAnsi="Calibri"/>
          <w:sz w:val="22"/>
          <w:szCs w:val="22"/>
        </w:rPr>
        <w:t xml:space="preserve">Capa de mensajería: AMQ Streams (Kafka) particionado, que funciona como buffer elástico entre ingesta y procesamiento.</w:t>
      </w:r>
    </w:p>
    <w:p>
      <w:pPr>
        <w:pStyle w:val="ListParagraph"/>
        <w:numPr>
          <w:ilvl w:val="0"/>
          <w:numId w:val="2"/>
        </w:numPr>
        <w:spacing w:after="80"/>
      </w:pPr>
      <w:r>
        <w:rPr>
          <w:rFonts w:ascii="Calibri" w:cs="Calibri" w:eastAsia="Calibri" w:hAnsi="Calibri"/>
          <w:sz w:val="22"/>
          <w:szCs w:val="22"/>
        </w:rPr>
        <w:t xml:space="preserve">Capa de procesamiento: microservicios stateless desplegados como Deployment, escalados mediante KEDA en función del rezago del topic.</w:t>
      </w:r>
    </w:p>
    <w:p>
      <w:pPr>
        <w:pStyle w:val="ListParagraph"/>
        <w:numPr>
          <w:ilvl w:val="0"/>
          <w:numId w:val="2"/>
        </w:numPr>
        <w:spacing w:after="80"/>
      </w:pPr>
      <w:r>
        <w:rPr>
          <w:rFonts w:ascii="Calibri" w:cs="Calibri" w:eastAsia="Calibri" w:hAnsi="Calibri"/>
          <w:sz w:val="22"/>
          <w:szCs w:val="22"/>
        </w:rPr>
        <w:t xml:space="preserve">Capa de persistencia: base de datos relacional con réplicas de lectura para consultas, y particionamiento o sharding si el nivel de 10M de transacciones lo requiere.</w:t>
      </w:r>
    </w:p>
    <w:p>
      <w:pPr>
        <w:pStyle w:val="ListParagraph"/>
        <w:numPr>
          <w:ilvl w:val="0"/>
          <w:numId w:val="2"/>
        </w:numPr>
        <w:spacing w:after="80"/>
      </w:pPr>
      <w:r>
        <w:rPr>
          <w:rFonts w:ascii="Calibri" w:cs="Calibri" w:eastAsia="Calibri" w:hAnsi="Calibri"/>
          <w:sz w:val="22"/>
          <w:szCs w:val="22"/>
        </w:rPr>
        <w:t xml:space="preserve">Capa de observabilidad: Prometheus, Grafana y Jaeger integrados, para instrumentar cada variable dependiente del experimento.</w:t>
      </w:r>
    </w:p>
    <w:p>
      <w:pPr>
        <w:pStyle w:val="Heading3"/>
        <w:spacing w:after="100" w:before="200"/>
      </w:pPr>
      <w:r>
        <w:t xml:space="preserve">5.2 Consideración de consistencia</w:t>
      </w:r>
    </w:p>
    <w:p>
      <w:pPr>
        <w:spacing w:after="160" w:line="276"/>
        <w:jc w:val="both"/>
      </w:pPr>
      <w:r>
        <w:rPr>
          <w:rFonts w:ascii="Calibri" w:cs="Calibri" w:eastAsia="Calibri" w:hAnsi="Calibri"/>
          <w:sz w:val="22"/>
          <w:szCs w:val="22"/>
        </w:rPr>
        <w:t xml:space="preserve">Dado el trade-off del teorema CAP, se propone consistencia eventual en la capa de mensajería y procesamiento intermedio, con una transacción de escritura final estrictamente consistente en la base de datos, de modo que el sistema favorezca disponibilidad y partición sin sacrificar la integridad del registro transaccional definitivo.</w:t>
      </w:r>
    </w:p>
    <w:p>
      <w:pPr>
        <w:pStyle w:val="Heading1"/>
        <w:spacing w:after="200" w:before="400"/>
      </w:pPr>
      <w:r>
        <w:t xml:space="preserve">6. Cronograma Propuesto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100"/>
        <w:gridCol w:w="2200"/>
      </w:tblGrid>
      <w:tr>
        <w:trPr>
          <w:tblHeader/>
        </w:trPr>
        <w:tc>
          <w:tcPr>
            <w:tcW w:type="dxa" w:w="1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Fase</w:t>
            </w:r>
          </w:p>
        </w:tc>
        <w:tc>
          <w:tcPr>
            <w:tcW w:type="dxa" w:w="6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Actividad</w:t>
            </w:r>
          </w:p>
        </w:tc>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Duración estimada</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Revisión bibliográfica y marco teórico</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semanas</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Diseño de arquitectura y aprovisionamiento del clúster OpenShift</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semanas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Desarrollo de la aplicación transaccional sintética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 semanas</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Instrumentación (Prometheus, Grafana, Jaeger)</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semana</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Ejecución de corridas experimentales (baseline y autoescalado)</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 semanas</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Análisis estadístico de resultados</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semanas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7</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Redacción de conclusiones y documento final</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semanas</w:t>
            </w:r>
          </w:p>
        </w:tc>
      </w:tr>
    </w:tbl>
    <w:p>
      <w:pPr>
        <w:pStyle w:val="Heading1"/>
        <w:spacing w:after="200" w:before="400"/>
      </w:pPr>
      <w:r>
        <w:t xml:space="preserve">7. Conclusiones Esperadas y Trabajo Futuro</w:t>
      </w:r>
    </w:p>
    <w:p>
      <w:pPr>
        <w:spacing w:after="160" w:line="276"/>
        <w:jc w:val="both"/>
      </w:pPr>
      <w:r>
        <w:rPr>
          <w:rFonts w:ascii="Calibri" w:cs="Calibri" w:eastAsia="Calibri" w:hAnsi="Calibri"/>
          <w:sz w:val="22"/>
          <w:szCs w:val="22"/>
        </w:rPr>
        <w:t xml:space="preserve">Se espera que los resultados permitan aceptar la hipótesis alterna dentro de un rango determinado de carga, identificando con precisión el punto de quiebre de la arquitectura propuesta y el costo marginal asociado a sostener cada incremento de un millón de transacciones adicionales.</w:t>
      </w:r>
    </w:p>
    <w:p>
      <w:pPr>
        <w:spacing w:after="160" w:line="276"/>
        <w:jc w:val="both"/>
      </w:pPr>
      <w:r>
        <w:rPr>
          <w:rFonts w:ascii="Calibri" w:cs="Calibri" w:eastAsia="Calibri" w:hAnsi="Calibri"/>
          <w:sz w:val="22"/>
          <w:szCs w:val="22"/>
        </w:rPr>
        <w:t xml:space="preserve">Como trabajo futuro, se sugiere extender el diseño experimental a escenarios de falla inducida (chaos engineering) para evaluar la resiliencia bajo degradación parcial de infraestructura, así como comparar el desempeño de OpenShift frente a otras distribuciones gestionadas de Kubernetes bajo el mismo protocolo experimental.</w:t>
      </w:r>
    </w:p>
    <w:p>
      <w:pPr>
        <w:pStyle w:val="Heading1"/>
        <w:spacing w:after="200" w:before="400"/>
      </w:pPr>
      <w:r>
        <w:t xml:space="preserve">8. Referencias</w:t>
      </w:r>
    </w:p>
    <w:p>
      <w:pPr>
        <w:spacing w:after="160" w:line="276"/>
        <w:jc w:val="both"/>
      </w:pPr>
      <w:r>
        <w:rPr>
          <w:rFonts w:ascii="Calibri" w:cs="Calibri" w:eastAsia="Calibri" w:hAnsi="Calibri"/>
          <w:sz w:val="22"/>
          <w:szCs w:val="22"/>
        </w:rPr>
        <w:t xml:space="preserve">Kubernetes Documentation. Autoscaling. The Linux Foundation.</w:t>
      </w:r>
    </w:p>
    <w:p>
      <w:pPr>
        <w:spacing w:after="160" w:line="276"/>
        <w:jc w:val="both"/>
      </w:pPr>
      <w:r>
        <w:rPr>
          <w:rFonts w:ascii="Calibri" w:cs="Calibri" w:eastAsia="Calibri" w:hAnsi="Calibri"/>
          <w:sz w:val="22"/>
          <w:szCs w:val="22"/>
        </w:rPr>
        <w:t xml:space="preserve">Red Hat, Inc. OpenShift Container Platform Documentation.</w:t>
      </w:r>
    </w:p>
    <w:p>
      <w:pPr>
        <w:spacing w:after="160" w:line="276"/>
        <w:jc w:val="both"/>
      </w:pPr>
      <w:r>
        <w:rPr>
          <w:rFonts w:ascii="Calibri" w:cs="Calibri" w:eastAsia="Calibri" w:hAnsi="Calibri"/>
          <w:sz w:val="22"/>
          <w:szCs w:val="22"/>
        </w:rPr>
        <w:t xml:space="preserve">Brewer, E. (2000). Towards Robust Distributed Systems (CAP Theorem).</w:t>
      </w:r>
    </w:p>
    <w:p>
      <w:pPr>
        <w:spacing w:after="160" w:line="276"/>
        <w:jc w:val="both"/>
      </w:pPr>
      <w:r>
        <w:rPr>
          <w:rFonts w:ascii="Calibri" w:cs="Calibri" w:eastAsia="Calibri" w:hAnsi="Calibri"/>
          <w:sz w:val="22"/>
          <w:szCs w:val="22"/>
        </w:rPr>
        <w:t xml:space="preserve">KEDA Documentation. Kubernetes Event-Driven Autoscaling.</w:t>
      </w:r>
    </w:p>
    <w:p>
      <w:pPr>
        <w:spacing w:after="160" w:line="276"/>
        <w:jc w:val="both"/>
      </w:pPr>
      <w:r>
        <w:rPr>
          <w:rFonts w:ascii="Calibri" w:cs="Calibri" w:eastAsia="Calibri" w:hAnsi="Calibri"/>
          <w:sz w:val="22"/>
          <w:szCs w:val="22"/>
        </w:rPr>
        <w:t xml:space="preserve">Cloud Native Computing Foundation. CNCF Annual Survey Reports.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Escalabilidad Transaccional en Kubernetes / OpenShift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pPr>
      <w:spacing w:after="150" w:before="300"/>
      <w:outlineLvl w:val="1"/>
    </w:pPr>
    <w:rPr>
      <w:rFonts w:ascii="Calibri" w:cs="Calibri" w:eastAsia="Calibri" w:hAnsi="Calibri"/>
      <w:b/>
      <w:bCs/>
      <w:color w:val="2E74B5"/>
      <w:sz w:val="26"/>
      <w:szCs w:val="26"/>
    </w:rPr>
  </w:style>
  <w:style w:type="paragraph" w:styleId="Heading3">
    <w:name w:val="Heading 3"/>
    <w:basedOn w:val="Normal"/>
    <w:next w:val="Normal"/>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2026-08-29T14:47:38.273Z</dcterms:created>
  <dcterms:modified xsi:type="dcterms:W3CDTF">2026-08-29T14:47:38.289Z</dcterms:modified>
</cp:coreProperties>
</file>

<file path=docProps/custom.xml><?xml version="1.0" encoding="utf-8"?>
<Properties xmlns="http://schemas.openxmlformats.org/officeDocument/2006/custom-properties" xmlns:vt="http://schemas.openxmlformats.org/officeDocument/2006/docPropsVTypes"/>
</file>