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Guía del seminario por seis grupos y sistema de reservas</w:t>
      </w:r>
    </w:p>
    <w:p>
      <w:r>
        <w:t>Organización exposición y demostración del sistema de reservas</w:t>
      </w:r>
    </w:p>
    <w:p>
      <w:r>
        <w:t>Guía para coordinar 22 alumnos en seis grupos, preparar una demostración funcional y evaluar aportes aplicados al mismo caso.</w:t>
      </w:r>
    </w:p>
    <w:p>
      <w:pPr>
        <w:pStyle w:val="Heading1"/>
      </w:pPr>
      <w:r>
        <w:t>Índice</w:t>
      </w:r>
    </w:p>
    <w:p>
      <w:fldSimple w:instr="TOC \o &quot;1-2&quot; \h \z \u">
        <w:r>
          <w:t>Actualizar el índice en Word con F9.</w:t>
        </w:r>
      </w:fldSimple>
    </w:p>
    <w:p>
      <w:r>
        <w:br w:type="page"/>
      </w:r>
    </w:p>
    <w:p>
      <w:r>
        <w:t>DOC-07-02 · Propuesta de exposición conjunta · 20 de octubre de 2026</w:t>
      </w:r>
    </w:p>
    <w:p>
      <w:pPr>
        <w:pStyle w:val="Heading1"/>
      </w:pPr>
      <w:r>
        <w:t>Cómo se mostrará nuestro caso de éxito</w:t>
      </w:r>
    </w:p>
    <w:p>
      <w:r>
        <w:t>La sesión utiliza un solo caso: el sistema de reservas que construimos. Primero se plantea la necesidad de confirmar cupos sin sobreventa ni duplicación. Cada grupo explica un mecanismo que interviene en esa misma operación. Después se realiza una demostración funcional conjunta y se interpreta la evidencia disponible. Se cierra con el protocolo para investigar las metas de 1M a 10M sobre OpenShift, todavía no demostradas.</w:t>
      </w:r>
    </w:p>
    <w:p>
      <w:r>
        <w:t>La investigación principal es DOC-01-02 y la presentación DOC-06-02, de treinta diapositivas. DOC-01-01 se conserva como biblioteca general. Los Word originales de organización y caso de éxito definen la distribución de los alumnos y la intención de investigación. Esta guía no atribuye a un grupo experimentos que no haya realizado ni convierte una propuesta de plataforma en un resultado medido.</w:t>
      </w:r>
    </w:p>
    <w:p>
      <w:pPr>
        <w:pStyle w:val="Heading1"/>
      </w:pPr>
      <w:r>
        <w:t>Responsables y bloques</w:t>
      </w:r>
    </w:p>
    <w:tbl>
      <w:tblPr>
        <w:tblW w:type="auto" w:w="0"/>
        <w:tblLayout w:type="fixed"/>
        <w:tblLook w:firstColumn="1" w:firstRow="1" w:lastColumn="0" w:lastRow="0" w:noHBand="0" w:noVBand="1" w:val="04A0"/>
      </w:tblPr>
      <w:tblGrid>
        <w:gridCol w:w="2232"/>
        <w:gridCol w:w="3096"/>
        <w:gridCol w:w="4234"/>
      </w:tblGrid>
      <w:tr>
        <w:trPr>
          <w:cantSplit/>
          <w:tblHeader/>
        </w:trPr>
        <w:tc>
          <w:tcPr>
            <w:tcW w:type="dxa" w:w="2232"/>
            <w:vAlign w:val="center"/>
            <w:tcBorders>
              <w:top w:val="single" w:sz="4" w:color="D9D9D9"/>
              <w:left w:val="single" w:sz="4" w:color="D9D9D9"/>
              <w:bottom w:val="single" w:sz="4" w:color="D9D9D9"/>
              <w:right w:val="single" w:sz="4" w:color="D9D9D9"/>
            </w:tcBorders>
            <w:tcMar>
              <w:top w:w="90" w:type="dxa"/>
              <w:bottom w:w="90" w:type="dxa"/>
              <w:left w:w="90" w:type="dxa"/>
              <w:right w:w="90" w:type="dxa"/>
            </w:tcMar>
            <w:shd w:fill="000000"/>
          </w:tcPr>
          <w:p>
            <w:pPr>
              <w:spacing w:after="60"/>
            </w:pPr>
            <w:r>
              <w:rPr>
                <w:b/>
                <w:color w:val="FFFFFF"/>
              </w:rPr>
              <w:t>Grupo y alumnos</w:t>
            </w:r>
          </w:p>
        </w:tc>
        <w:tc>
          <w:tcPr>
            <w:tcW w:type="dxa" w:w="3096"/>
            <w:vAlign w:val="center"/>
            <w:tcBorders>
              <w:top w:val="single" w:sz="4" w:color="D9D9D9"/>
              <w:left w:val="single" w:sz="4" w:color="D9D9D9"/>
              <w:bottom w:val="single" w:sz="4" w:color="D9D9D9"/>
              <w:right w:val="single" w:sz="4" w:color="D9D9D9"/>
            </w:tcBorders>
            <w:tcMar>
              <w:top w:w="90" w:type="dxa"/>
              <w:bottom w:w="90" w:type="dxa"/>
              <w:left w:w="90" w:type="dxa"/>
              <w:right w:w="90" w:type="dxa"/>
            </w:tcMar>
            <w:shd w:fill="000000"/>
          </w:tcPr>
          <w:p>
            <w:pPr>
              <w:spacing w:after="60"/>
            </w:pPr>
            <w:r>
              <w:rPr>
                <w:b/>
                <w:color w:val="FFFFFF"/>
              </w:rPr>
              <w:t>Diapositivas</w:t>
            </w:r>
          </w:p>
        </w:tc>
        <w:tc>
          <w:tcPr>
            <w:tcW w:type="dxa" w:w="4234"/>
            <w:vAlign w:val="center"/>
            <w:tcBorders>
              <w:top w:val="single" w:sz="4" w:color="D9D9D9"/>
              <w:left w:val="single" w:sz="4" w:color="D9D9D9"/>
              <w:bottom w:val="single" w:sz="4" w:color="D9D9D9"/>
              <w:right w:val="single" w:sz="4" w:color="D9D9D9"/>
            </w:tcBorders>
            <w:tcMar>
              <w:top w:w="90" w:type="dxa"/>
              <w:bottom w:w="90" w:type="dxa"/>
              <w:left w:w="90" w:type="dxa"/>
              <w:right w:w="90" w:type="dxa"/>
            </w:tcMar>
            <w:shd w:fill="000000"/>
          </w:tcPr>
          <w:p>
            <w:pPr>
              <w:spacing w:after="60"/>
            </w:pPr>
            <w:r>
              <w:rPr>
                <w:b/>
                <w:color w:val="FFFFFF"/>
              </w:rPr>
              <w:t>Responsabilidad en la exposición</w:t>
            </w:r>
          </w:p>
        </w:tc>
      </w:tr>
      <w:tr>
        <w:trPr>
          <w:cantSplit/>
        </w:trPr>
        <w:tc>
          <w:tcPr>
            <w:tcW w:type="dxa" w:w="2232"/>
            <w:vAlign w:val="center"/>
            <w:tcBorders>
              <w:top w:val="single" w:sz="4" w:color="D9D9D9"/>
              <w:left w:val="single" w:sz="4" w:color="D9D9D9"/>
              <w:bottom w:val="single" w:sz="4" w:color="D9D9D9"/>
              <w:right w:val="single" w:sz="4" w:color="D9D9D9"/>
            </w:tcBorders>
            <w:tcMar>
              <w:top w:w="90" w:type="dxa"/>
              <w:bottom w:w="90" w:type="dxa"/>
              <w:left w:w="90" w:type="dxa"/>
              <w:right w:w="90" w:type="dxa"/>
            </w:tcMar>
          </w:tcPr>
          <w:p>
            <w:pPr>
              <w:spacing w:after="60"/>
            </w:pPr>
            <w:r>
              <w:t>G1 · 4</w:t>
            </w:r>
          </w:p>
        </w:tc>
        <w:tc>
          <w:tcPr>
            <w:tcW w:type="dxa" w:w="3096"/>
            <w:vAlign w:val="center"/>
            <w:tcBorders>
              <w:top w:val="single" w:sz="4" w:color="D9D9D9"/>
              <w:left w:val="single" w:sz="4" w:color="D9D9D9"/>
              <w:bottom w:val="single" w:sz="4" w:color="D9D9D9"/>
              <w:right w:val="single" w:sz="4" w:color="D9D9D9"/>
            </w:tcBorders>
            <w:tcMar>
              <w:top w:w="90" w:type="dxa"/>
              <w:bottom w:w="90" w:type="dxa"/>
              <w:left w:w="90" w:type="dxa"/>
              <w:right w:w="90" w:type="dxa"/>
            </w:tcMar>
          </w:tcPr>
          <w:p>
            <w:pPr>
              <w:spacing w:after="60"/>
            </w:pPr>
            <w:r>
              <w:t>5 a 7</w:t>
            </w:r>
          </w:p>
        </w:tc>
        <w:tc>
          <w:tcPr>
            <w:tcW w:type="dxa" w:w="4234"/>
            <w:vAlign w:val="center"/>
            <w:tcBorders>
              <w:top w:val="single" w:sz="4" w:color="D9D9D9"/>
              <w:left w:val="single" w:sz="4" w:color="D9D9D9"/>
              <w:bottom w:val="single" w:sz="4" w:color="D9D9D9"/>
              <w:right w:val="single" w:sz="4" w:color="D9D9D9"/>
            </w:tcBorders>
            <w:tcMar>
              <w:top w:w="90" w:type="dxa"/>
              <w:bottom w:w="90" w:type="dxa"/>
              <w:left w:w="90" w:type="dxa"/>
              <w:right w:w="90" w:type="dxa"/>
            </w:tcMar>
          </w:tcPr>
          <w:p>
            <w:pPr>
              <w:spacing w:after="60"/>
            </w:pPr>
            <w:r>
              <w:t>Arquitectura objetos Kubernetes y estado del despliegue</w:t>
            </w:r>
          </w:p>
        </w:tc>
      </w:tr>
      <w:tr>
        <w:trPr>
          <w:cantSplit/>
        </w:trPr>
        <w:tc>
          <w:tcPr>
            <w:tcW w:type="dxa" w:w="2232"/>
            <w:vAlign w:val="center"/>
            <w:tcBorders>
              <w:top w:val="single" w:sz="4" w:color="D9D9D9"/>
              <w:left w:val="single" w:sz="4" w:color="D9D9D9"/>
              <w:bottom w:val="single" w:sz="4" w:color="D9D9D9"/>
              <w:right w:val="single" w:sz="4" w:color="D9D9D9"/>
            </w:tcBorders>
            <w:tcMar>
              <w:top w:w="90" w:type="dxa"/>
              <w:bottom w:w="90" w:type="dxa"/>
              <w:left w:w="90" w:type="dxa"/>
              <w:right w:w="90" w:type="dxa"/>
            </w:tcMar>
          </w:tcPr>
          <w:p>
            <w:pPr>
              <w:spacing w:after="60"/>
            </w:pPr>
            <w:r>
              <w:t>G2 · 4</w:t>
            </w:r>
          </w:p>
        </w:tc>
        <w:tc>
          <w:tcPr>
            <w:tcW w:type="dxa" w:w="3096"/>
            <w:vAlign w:val="center"/>
            <w:tcBorders>
              <w:top w:val="single" w:sz="4" w:color="D9D9D9"/>
              <w:left w:val="single" w:sz="4" w:color="D9D9D9"/>
              <w:bottom w:val="single" w:sz="4" w:color="D9D9D9"/>
              <w:right w:val="single" w:sz="4" w:color="D9D9D9"/>
            </w:tcBorders>
            <w:tcMar>
              <w:top w:w="90" w:type="dxa"/>
              <w:bottom w:w="90" w:type="dxa"/>
              <w:left w:w="90" w:type="dxa"/>
              <w:right w:w="90" w:type="dxa"/>
            </w:tcMar>
          </w:tcPr>
          <w:p>
            <w:pPr>
              <w:spacing w:after="60"/>
            </w:pPr>
            <w:r>
              <w:t>8 a 10</w:t>
            </w:r>
          </w:p>
        </w:tc>
        <w:tc>
          <w:tcPr>
            <w:tcW w:type="dxa" w:w="4234"/>
            <w:vAlign w:val="center"/>
            <w:tcBorders>
              <w:top w:val="single" w:sz="4" w:color="D9D9D9"/>
              <w:left w:val="single" w:sz="4" w:color="D9D9D9"/>
              <w:bottom w:val="single" w:sz="4" w:color="D9D9D9"/>
              <w:right w:val="single" w:sz="4" w:color="D9D9D9"/>
            </w:tcBorders>
            <w:tcMar>
              <w:top w:w="90" w:type="dxa"/>
              <w:bottom w:w="90" w:type="dxa"/>
              <w:left w:w="90" w:type="dxa"/>
              <w:right w:w="90" w:type="dxa"/>
            </w:tcMar>
          </w:tcPr>
          <w:p>
            <w:pPr>
              <w:spacing w:after="60"/>
            </w:pPr>
            <w:r>
              <w:t>Escalado de solicitudes y consumidores y comparación controlada</w:t>
            </w:r>
          </w:p>
        </w:tc>
      </w:tr>
      <w:tr>
        <w:trPr>
          <w:cantSplit/>
        </w:trPr>
        <w:tc>
          <w:tcPr>
            <w:tcW w:type="dxa" w:w="2232"/>
            <w:vAlign w:val="center"/>
            <w:tcBorders>
              <w:top w:val="single" w:sz="4" w:color="D9D9D9"/>
              <w:left w:val="single" w:sz="4" w:color="D9D9D9"/>
              <w:bottom w:val="single" w:sz="4" w:color="D9D9D9"/>
              <w:right w:val="single" w:sz="4" w:color="D9D9D9"/>
            </w:tcBorders>
            <w:tcMar>
              <w:top w:w="90" w:type="dxa"/>
              <w:bottom w:w="90" w:type="dxa"/>
              <w:left w:w="90" w:type="dxa"/>
              <w:right w:w="90" w:type="dxa"/>
            </w:tcMar>
          </w:tcPr>
          <w:p>
            <w:pPr>
              <w:spacing w:after="60"/>
            </w:pPr>
            <w:r>
              <w:t>G3 · 4</w:t>
            </w:r>
          </w:p>
        </w:tc>
        <w:tc>
          <w:tcPr>
            <w:tcW w:type="dxa" w:w="3096"/>
            <w:vAlign w:val="center"/>
            <w:tcBorders>
              <w:top w:val="single" w:sz="4" w:color="D9D9D9"/>
              <w:left w:val="single" w:sz="4" w:color="D9D9D9"/>
              <w:bottom w:val="single" w:sz="4" w:color="D9D9D9"/>
              <w:right w:val="single" w:sz="4" w:color="D9D9D9"/>
            </w:tcBorders>
            <w:tcMar>
              <w:top w:w="90" w:type="dxa"/>
              <w:bottom w:w="90" w:type="dxa"/>
              <w:left w:w="90" w:type="dxa"/>
              <w:right w:w="90" w:type="dxa"/>
            </w:tcMar>
          </w:tcPr>
          <w:p>
            <w:pPr>
              <w:spacing w:after="60"/>
            </w:pPr>
            <w:r>
              <w:t>11 a 13</w:t>
            </w:r>
          </w:p>
        </w:tc>
        <w:tc>
          <w:tcPr>
            <w:tcW w:type="dxa" w:w="4234"/>
            <w:vAlign w:val="center"/>
            <w:tcBorders>
              <w:top w:val="single" w:sz="4" w:color="D9D9D9"/>
              <w:left w:val="single" w:sz="4" w:color="D9D9D9"/>
              <w:bottom w:val="single" w:sz="4" w:color="D9D9D9"/>
              <w:right w:val="single" w:sz="4" w:color="D9D9D9"/>
            </w:tcBorders>
            <w:tcMar>
              <w:top w:w="90" w:type="dxa"/>
              <w:bottom w:w="90" w:type="dxa"/>
              <w:left w:w="90" w:type="dxa"/>
              <w:right w:w="90" w:type="dxa"/>
            </w:tcMar>
          </w:tcPr>
          <w:p>
            <w:pPr>
              <w:spacing w:after="60"/>
            </w:pPr>
            <w:r>
              <w:t>Fallos recuperación seguridad y disponibilidad definida</w:t>
            </w:r>
          </w:p>
        </w:tc>
      </w:tr>
      <w:tr>
        <w:trPr>
          <w:cantSplit/>
        </w:trPr>
        <w:tc>
          <w:tcPr>
            <w:tcW w:type="dxa" w:w="2232"/>
            <w:vAlign w:val="center"/>
            <w:tcBorders>
              <w:top w:val="single" w:sz="4" w:color="D9D9D9"/>
              <w:left w:val="single" w:sz="4" w:color="D9D9D9"/>
              <w:bottom w:val="single" w:sz="4" w:color="D9D9D9"/>
              <w:right w:val="single" w:sz="4" w:color="D9D9D9"/>
            </w:tcBorders>
            <w:tcMar>
              <w:top w:w="90" w:type="dxa"/>
              <w:bottom w:w="90" w:type="dxa"/>
              <w:left w:w="90" w:type="dxa"/>
              <w:right w:w="90" w:type="dxa"/>
            </w:tcMar>
          </w:tcPr>
          <w:p>
            <w:pPr>
              <w:spacing w:after="60"/>
            </w:pPr>
            <w:r>
              <w:t>G4 · 4</w:t>
            </w:r>
          </w:p>
        </w:tc>
        <w:tc>
          <w:tcPr>
            <w:tcW w:type="dxa" w:w="3096"/>
            <w:vAlign w:val="center"/>
            <w:tcBorders>
              <w:top w:val="single" w:sz="4" w:color="D9D9D9"/>
              <w:left w:val="single" w:sz="4" w:color="D9D9D9"/>
              <w:bottom w:val="single" w:sz="4" w:color="D9D9D9"/>
              <w:right w:val="single" w:sz="4" w:color="D9D9D9"/>
            </w:tcBorders>
            <w:tcMar>
              <w:top w:w="90" w:type="dxa"/>
              <w:bottom w:w="90" w:type="dxa"/>
              <w:left w:w="90" w:type="dxa"/>
              <w:right w:w="90" w:type="dxa"/>
            </w:tcMar>
          </w:tcPr>
          <w:p>
            <w:pPr>
              <w:spacing w:after="60"/>
            </w:pPr>
            <w:r>
              <w:t>14 a 16</w:t>
            </w:r>
          </w:p>
        </w:tc>
        <w:tc>
          <w:tcPr>
            <w:tcW w:type="dxa" w:w="4234"/>
            <w:vAlign w:val="center"/>
            <w:tcBorders>
              <w:top w:val="single" w:sz="4" w:color="D9D9D9"/>
              <w:left w:val="single" w:sz="4" w:color="D9D9D9"/>
              <w:bottom w:val="single" w:sz="4" w:color="D9D9D9"/>
              <w:right w:val="single" w:sz="4" w:color="D9D9D9"/>
            </w:tcBorders>
            <w:tcMar>
              <w:top w:w="90" w:type="dxa"/>
              <w:bottom w:w="90" w:type="dxa"/>
              <w:left w:w="90" w:type="dxa"/>
              <w:right w:w="90" w:type="dxa"/>
            </w:tcMar>
          </w:tcPr>
          <w:p>
            <w:pPr>
              <w:spacing w:after="60"/>
            </w:pPr>
            <w:r>
              <w:t>Inventario transacción idempotencia y mensajería</w:t>
            </w:r>
          </w:p>
        </w:tc>
      </w:tr>
      <w:tr>
        <w:trPr>
          <w:cantSplit/>
        </w:trPr>
        <w:tc>
          <w:tcPr>
            <w:tcW w:type="dxa" w:w="2232"/>
            <w:vAlign w:val="center"/>
            <w:tcBorders>
              <w:top w:val="single" w:sz="4" w:color="D9D9D9"/>
              <w:left w:val="single" w:sz="4" w:color="D9D9D9"/>
              <w:bottom w:val="single" w:sz="4" w:color="D9D9D9"/>
              <w:right w:val="single" w:sz="4" w:color="D9D9D9"/>
            </w:tcBorders>
            <w:tcMar>
              <w:top w:w="90" w:type="dxa"/>
              <w:bottom w:w="90" w:type="dxa"/>
              <w:left w:w="90" w:type="dxa"/>
              <w:right w:w="90" w:type="dxa"/>
            </w:tcMar>
          </w:tcPr>
          <w:p>
            <w:pPr>
              <w:spacing w:after="60"/>
            </w:pPr>
            <w:r>
              <w:t>G5 · 3</w:t>
            </w:r>
          </w:p>
        </w:tc>
        <w:tc>
          <w:tcPr>
            <w:tcW w:type="dxa" w:w="3096"/>
            <w:vAlign w:val="center"/>
            <w:tcBorders>
              <w:top w:val="single" w:sz="4" w:color="D9D9D9"/>
              <w:left w:val="single" w:sz="4" w:color="D9D9D9"/>
              <w:bottom w:val="single" w:sz="4" w:color="D9D9D9"/>
              <w:right w:val="single" w:sz="4" w:color="D9D9D9"/>
            </w:tcBorders>
            <w:tcMar>
              <w:top w:w="90" w:type="dxa"/>
              <w:bottom w:w="90" w:type="dxa"/>
              <w:left w:w="90" w:type="dxa"/>
              <w:right w:w="90" w:type="dxa"/>
            </w:tcMar>
          </w:tcPr>
          <w:p>
            <w:pPr>
              <w:spacing w:after="60"/>
            </w:pPr>
            <w:r>
              <w:t>17 a 19</w:t>
            </w:r>
          </w:p>
        </w:tc>
        <w:tc>
          <w:tcPr>
            <w:tcW w:type="dxa" w:w="4234"/>
            <w:vAlign w:val="center"/>
            <w:tcBorders>
              <w:top w:val="single" w:sz="4" w:color="D9D9D9"/>
              <w:left w:val="single" w:sz="4" w:color="D9D9D9"/>
              <w:bottom w:val="single" w:sz="4" w:color="D9D9D9"/>
              <w:right w:val="single" w:sz="4" w:color="D9D9D9"/>
            </w:tcBorders>
            <w:tcMar>
              <w:top w:w="90" w:type="dxa"/>
              <w:bottom w:w="90" w:type="dxa"/>
              <w:left w:w="90" w:type="dxa"/>
              <w:right w:w="90" w:type="dxa"/>
            </w:tcMar>
          </w:tcPr>
          <w:p>
            <w:pPr>
              <w:spacing w:after="60"/>
            </w:pPr>
            <w:r>
              <w:t>Métricas instrumentación y evidencia S19</w:t>
            </w:r>
          </w:p>
        </w:tc>
      </w:tr>
      <w:tr>
        <w:trPr>
          <w:cantSplit/>
        </w:trPr>
        <w:tc>
          <w:tcPr>
            <w:tcW w:type="dxa" w:w="2232"/>
            <w:vAlign w:val="center"/>
            <w:tcBorders>
              <w:top w:val="single" w:sz="4" w:color="D9D9D9"/>
              <w:left w:val="single" w:sz="4" w:color="D9D9D9"/>
              <w:bottom w:val="single" w:sz="4" w:color="D9D9D9"/>
              <w:right w:val="single" w:sz="4" w:color="D9D9D9"/>
            </w:tcBorders>
            <w:tcMar>
              <w:top w:w="90" w:type="dxa"/>
              <w:bottom w:w="90" w:type="dxa"/>
              <w:left w:w="90" w:type="dxa"/>
              <w:right w:w="90" w:type="dxa"/>
            </w:tcMar>
          </w:tcPr>
          <w:p>
            <w:pPr>
              <w:spacing w:after="60"/>
            </w:pPr>
            <w:r>
              <w:t>G6 · 3</w:t>
            </w:r>
          </w:p>
        </w:tc>
        <w:tc>
          <w:tcPr>
            <w:tcW w:type="dxa" w:w="3096"/>
            <w:vAlign w:val="center"/>
            <w:tcBorders>
              <w:top w:val="single" w:sz="4" w:color="D9D9D9"/>
              <w:left w:val="single" w:sz="4" w:color="D9D9D9"/>
              <w:bottom w:val="single" w:sz="4" w:color="D9D9D9"/>
              <w:right w:val="single" w:sz="4" w:color="D9D9D9"/>
            </w:tcBorders>
            <w:tcMar>
              <w:top w:w="90" w:type="dxa"/>
              <w:bottom w:w="90" w:type="dxa"/>
              <w:left w:w="90" w:type="dxa"/>
              <w:right w:w="90" w:type="dxa"/>
            </w:tcMar>
          </w:tcPr>
          <w:p>
            <w:pPr>
              <w:spacing w:after="60"/>
            </w:pPr>
            <w:r>
              <w:t>20 a 22</w:t>
            </w:r>
          </w:p>
        </w:tc>
        <w:tc>
          <w:tcPr>
            <w:tcW w:type="dxa" w:w="4234"/>
            <w:vAlign w:val="center"/>
            <w:tcBorders>
              <w:top w:val="single" w:sz="4" w:color="D9D9D9"/>
              <w:left w:val="single" w:sz="4" w:color="D9D9D9"/>
              <w:bottom w:val="single" w:sz="4" w:color="D9D9D9"/>
              <w:right w:val="single" w:sz="4" w:color="D9D9D9"/>
            </w:tcBorders>
            <w:tcMar>
              <w:top w:w="90" w:type="dxa"/>
              <w:bottom w:w="90" w:type="dxa"/>
              <w:left w:w="90" w:type="dxa"/>
              <w:right w:w="90" w:type="dxa"/>
            </w:tcMar>
          </w:tcPr>
          <w:p>
            <w:pPr>
              <w:spacing w:after="60"/>
            </w:pPr>
            <w:r>
              <w:t>Unidad de reserva protocolo y análisis estadístico</w:t>
            </w:r>
          </w:p>
        </w:tc>
      </w:tr>
    </w:tbl>
    <w:p/>
    <w:p>
      <w:r>
        <w:t>Las diapositivas 1 a 4 abren el caso; 23 a 26 acompañan la demostración; 27 a 30 integran logros, pendientes y conclusión. Un coordinador presenta apertura y cierre y G6 conduce el registro experimental. Cada equipo asigna sus nombres y roles reales antes de la sesión; no se inventan integrantes.</w:t>
      </w:r>
    </w:p>
    <w:p>
      <w:pPr>
        <w:pStyle w:val="Heading1"/>
      </w:pPr>
      <w:r>
        <w:t>Agenda propuesta de tres horas</w:t>
      </w:r>
    </w:p>
    <w:tbl>
      <w:tblPr>
        <w:tblW w:type="auto" w:w="0"/>
        <w:tblLayout w:type="fixed"/>
        <w:tblLook w:firstColumn="1" w:firstRow="1" w:lastColumn="0" w:lastRow="0" w:noHBand="0" w:noVBand="1" w:val="04A0"/>
      </w:tblPr>
      <w:tblGrid>
        <w:gridCol w:w="2232"/>
        <w:gridCol w:w="3096"/>
        <w:gridCol w:w="4234"/>
      </w:tblGrid>
      <w:tr>
        <w:trPr>
          <w:cantSplit/>
          <w:tblHeader/>
        </w:trPr>
        <w:tc>
          <w:tcPr>
            <w:tcW w:type="dxa" w:w="2232"/>
            <w:vAlign w:val="center"/>
            <w:tcBorders>
              <w:top w:val="single" w:sz="4" w:color="D9D9D9"/>
              <w:left w:val="single" w:sz="4" w:color="D9D9D9"/>
              <w:bottom w:val="single" w:sz="4" w:color="D9D9D9"/>
              <w:right w:val="single" w:sz="4" w:color="D9D9D9"/>
            </w:tcBorders>
            <w:tcMar>
              <w:top w:w="90" w:type="dxa"/>
              <w:bottom w:w="90" w:type="dxa"/>
              <w:left w:w="90" w:type="dxa"/>
              <w:right w:w="90" w:type="dxa"/>
            </w:tcMar>
            <w:shd w:fill="000000"/>
          </w:tcPr>
          <w:p>
            <w:pPr>
              <w:spacing w:after="60"/>
            </w:pPr>
            <w:r>
              <w:rPr>
                <w:b/>
                <w:color w:val="FFFFFF"/>
              </w:rPr>
              <w:t>Bloque</w:t>
            </w:r>
          </w:p>
        </w:tc>
        <w:tc>
          <w:tcPr>
            <w:tcW w:type="dxa" w:w="3096"/>
            <w:vAlign w:val="center"/>
            <w:tcBorders>
              <w:top w:val="single" w:sz="4" w:color="D9D9D9"/>
              <w:left w:val="single" w:sz="4" w:color="D9D9D9"/>
              <w:bottom w:val="single" w:sz="4" w:color="D9D9D9"/>
              <w:right w:val="single" w:sz="4" w:color="D9D9D9"/>
            </w:tcBorders>
            <w:tcMar>
              <w:top w:w="90" w:type="dxa"/>
              <w:bottom w:w="90" w:type="dxa"/>
              <w:left w:w="90" w:type="dxa"/>
              <w:right w:w="90" w:type="dxa"/>
            </w:tcMar>
            <w:shd w:fill="000000"/>
          </w:tcPr>
          <w:p>
            <w:pPr>
              <w:spacing w:after="60"/>
            </w:pPr>
            <w:r>
              <w:rPr>
                <w:b/>
                <w:color w:val="FFFFFF"/>
              </w:rPr>
              <w:t>Minutos</w:t>
            </w:r>
          </w:p>
        </w:tc>
        <w:tc>
          <w:tcPr>
            <w:tcW w:type="dxa" w:w="4234"/>
            <w:vAlign w:val="center"/>
            <w:tcBorders>
              <w:top w:val="single" w:sz="4" w:color="D9D9D9"/>
              <w:left w:val="single" w:sz="4" w:color="D9D9D9"/>
              <w:bottom w:val="single" w:sz="4" w:color="D9D9D9"/>
              <w:right w:val="single" w:sz="4" w:color="D9D9D9"/>
            </w:tcBorders>
            <w:tcMar>
              <w:top w:w="90" w:type="dxa"/>
              <w:bottom w:w="90" w:type="dxa"/>
              <w:left w:w="90" w:type="dxa"/>
              <w:right w:w="90" w:type="dxa"/>
            </w:tcMar>
            <w:shd w:fill="000000"/>
          </w:tcPr>
          <w:p>
            <w:pPr>
              <w:spacing w:after="60"/>
            </w:pPr>
            <w:r>
              <w:rPr>
                <w:b/>
                <w:color w:val="FFFFFF"/>
              </w:rPr>
              <w:t>Producto observable</w:t>
            </w:r>
          </w:p>
        </w:tc>
      </w:tr>
      <w:tr>
        <w:trPr>
          <w:cantSplit/>
        </w:trPr>
        <w:tc>
          <w:tcPr>
            <w:tcW w:type="dxa" w:w="2232"/>
            <w:vAlign w:val="center"/>
            <w:tcBorders>
              <w:top w:val="single" w:sz="4" w:color="D9D9D9"/>
              <w:left w:val="single" w:sz="4" w:color="D9D9D9"/>
              <w:bottom w:val="single" w:sz="4" w:color="D9D9D9"/>
              <w:right w:val="single" w:sz="4" w:color="D9D9D9"/>
            </w:tcBorders>
            <w:tcMar>
              <w:top w:w="90" w:type="dxa"/>
              <w:bottom w:w="90" w:type="dxa"/>
              <w:left w:w="90" w:type="dxa"/>
              <w:right w:w="90" w:type="dxa"/>
            </w:tcMar>
          </w:tcPr>
          <w:p>
            <w:pPr>
              <w:spacing w:after="60"/>
            </w:pPr>
            <w:r>
              <w:t>Apertura y recorrido general</w:t>
            </w:r>
          </w:p>
        </w:tc>
        <w:tc>
          <w:tcPr>
            <w:tcW w:type="dxa" w:w="3096"/>
            <w:vAlign w:val="center"/>
            <w:tcBorders>
              <w:top w:val="single" w:sz="4" w:color="D9D9D9"/>
              <w:left w:val="single" w:sz="4" w:color="D9D9D9"/>
              <w:bottom w:val="single" w:sz="4" w:color="D9D9D9"/>
              <w:right w:val="single" w:sz="4" w:color="D9D9D9"/>
            </w:tcBorders>
            <w:tcMar>
              <w:top w:w="90" w:type="dxa"/>
              <w:bottom w:w="90" w:type="dxa"/>
              <w:left w:w="90" w:type="dxa"/>
              <w:right w:w="90" w:type="dxa"/>
            </w:tcMar>
          </w:tcPr>
          <w:p>
            <w:pPr>
              <w:spacing w:after="60"/>
            </w:pPr>
            <w:r>
              <w:t>10</w:t>
            </w:r>
          </w:p>
        </w:tc>
        <w:tc>
          <w:tcPr>
            <w:tcW w:type="dxa" w:w="4234"/>
            <w:vAlign w:val="center"/>
            <w:tcBorders>
              <w:top w:val="single" w:sz="4" w:color="D9D9D9"/>
              <w:left w:val="single" w:sz="4" w:color="D9D9D9"/>
              <w:bottom w:val="single" w:sz="4" w:color="D9D9D9"/>
              <w:right w:val="single" w:sz="4" w:color="D9D9D9"/>
            </w:tcBorders>
            <w:tcMar>
              <w:top w:w="90" w:type="dxa"/>
              <w:bottom w:w="90" w:type="dxa"/>
              <w:left w:w="90" w:type="dxa"/>
              <w:right w:w="90" w:type="dxa"/>
            </w:tcMar>
          </w:tcPr>
          <w:p>
            <w:pPr>
              <w:spacing w:after="60"/>
            </w:pPr>
            <w:r>
              <w:t>Pregunta y alcance compartidos</w:t>
            </w:r>
          </w:p>
        </w:tc>
      </w:tr>
      <w:tr>
        <w:trPr>
          <w:cantSplit/>
        </w:trPr>
        <w:tc>
          <w:tcPr>
            <w:tcW w:type="dxa" w:w="2232"/>
            <w:vAlign w:val="center"/>
            <w:tcBorders>
              <w:top w:val="single" w:sz="4" w:color="D9D9D9"/>
              <w:left w:val="single" w:sz="4" w:color="D9D9D9"/>
              <w:bottom w:val="single" w:sz="4" w:color="D9D9D9"/>
              <w:right w:val="single" w:sz="4" w:color="D9D9D9"/>
            </w:tcBorders>
            <w:tcMar>
              <w:top w:w="90" w:type="dxa"/>
              <w:bottom w:w="90" w:type="dxa"/>
              <w:left w:w="90" w:type="dxa"/>
              <w:right w:w="90" w:type="dxa"/>
            </w:tcMar>
          </w:tcPr>
          <w:p>
            <w:pPr>
              <w:spacing w:after="60"/>
            </w:pPr>
            <w:r>
              <w:t>G1 Fundamentos y Arquitectura</w:t>
            </w:r>
          </w:p>
        </w:tc>
        <w:tc>
          <w:tcPr>
            <w:tcW w:type="dxa" w:w="3096"/>
            <w:vAlign w:val="center"/>
            <w:tcBorders>
              <w:top w:val="single" w:sz="4" w:color="D9D9D9"/>
              <w:left w:val="single" w:sz="4" w:color="D9D9D9"/>
              <w:bottom w:val="single" w:sz="4" w:color="D9D9D9"/>
              <w:right w:val="single" w:sz="4" w:color="D9D9D9"/>
            </w:tcBorders>
            <w:tcMar>
              <w:top w:w="90" w:type="dxa"/>
              <w:bottom w:w="90" w:type="dxa"/>
              <w:left w:w="90" w:type="dxa"/>
              <w:right w:w="90" w:type="dxa"/>
            </w:tcMar>
          </w:tcPr>
          <w:p>
            <w:pPr>
              <w:spacing w:after="60"/>
            </w:pPr>
            <w:r>
              <w:t>20</w:t>
            </w:r>
          </w:p>
        </w:tc>
        <w:tc>
          <w:tcPr>
            <w:tcW w:type="dxa" w:w="4234"/>
            <w:vAlign w:val="center"/>
            <w:tcBorders>
              <w:top w:val="single" w:sz="4" w:color="D9D9D9"/>
              <w:left w:val="single" w:sz="4" w:color="D9D9D9"/>
              <w:bottom w:val="single" w:sz="4" w:color="D9D9D9"/>
              <w:right w:val="single" w:sz="4" w:color="D9D9D9"/>
            </w:tcBorders>
            <w:tcMar>
              <w:top w:w="90" w:type="dxa"/>
              <w:bottom w:w="90" w:type="dxa"/>
              <w:left w:w="90" w:type="dxa"/>
              <w:right w:w="90" w:type="dxa"/>
            </w:tcMar>
          </w:tcPr>
          <w:p>
            <w:pPr>
              <w:spacing w:after="60"/>
            </w:pPr>
            <w:r>
              <w:t>Diagrama y componentes identificados</w:t>
            </w:r>
          </w:p>
        </w:tc>
      </w:tr>
      <w:tr>
        <w:trPr>
          <w:cantSplit/>
        </w:trPr>
        <w:tc>
          <w:tcPr>
            <w:tcW w:type="dxa" w:w="2232"/>
            <w:vAlign w:val="center"/>
            <w:tcBorders>
              <w:top w:val="single" w:sz="4" w:color="D9D9D9"/>
              <w:left w:val="single" w:sz="4" w:color="D9D9D9"/>
              <w:bottom w:val="single" w:sz="4" w:color="D9D9D9"/>
              <w:right w:val="single" w:sz="4" w:color="D9D9D9"/>
            </w:tcBorders>
            <w:tcMar>
              <w:top w:w="90" w:type="dxa"/>
              <w:bottom w:w="90" w:type="dxa"/>
              <w:left w:w="90" w:type="dxa"/>
              <w:right w:w="90" w:type="dxa"/>
            </w:tcMar>
          </w:tcPr>
          <w:p>
            <w:pPr>
              <w:spacing w:after="60"/>
            </w:pPr>
            <w:r>
              <w:t>G2 Escalabilidad y Autoescalado</w:t>
            </w:r>
          </w:p>
        </w:tc>
        <w:tc>
          <w:tcPr>
            <w:tcW w:type="dxa" w:w="3096"/>
            <w:vAlign w:val="center"/>
            <w:tcBorders>
              <w:top w:val="single" w:sz="4" w:color="D9D9D9"/>
              <w:left w:val="single" w:sz="4" w:color="D9D9D9"/>
              <w:bottom w:val="single" w:sz="4" w:color="D9D9D9"/>
              <w:right w:val="single" w:sz="4" w:color="D9D9D9"/>
            </w:tcBorders>
            <w:tcMar>
              <w:top w:w="90" w:type="dxa"/>
              <w:bottom w:w="90" w:type="dxa"/>
              <w:left w:w="90" w:type="dxa"/>
              <w:right w:w="90" w:type="dxa"/>
            </w:tcMar>
          </w:tcPr>
          <w:p>
            <w:pPr>
              <w:spacing w:after="60"/>
            </w:pPr>
            <w:r>
              <w:t>20</w:t>
            </w:r>
          </w:p>
        </w:tc>
        <w:tc>
          <w:tcPr>
            <w:tcW w:type="dxa" w:w="4234"/>
            <w:vAlign w:val="center"/>
            <w:tcBorders>
              <w:top w:val="single" w:sz="4" w:color="D9D9D9"/>
              <w:left w:val="single" w:sz="4" w:color="D9D9D9"/>
              <w:bottom w:val="single" w:sz="4" w:color="D9D9D9"/>
              <w:right w:val="single" w:sz="4" w:color="D9D9D9"/>
            </w:tcBorders>
            <w:tcMar>
              <w:top w:w="90" w:type="dxa"/>
              <w:bottom w:w="90" w:type="dxa"/>
              <w:left w:w="90" w:type="dxa"/>
              <w:right w:w="90" w:type="dxa"/>
            </w:tcMar>
          </w:tcPr>
          <w:p>
            <w:pPr>
              <w:spacing w:after="60"/>
            </w:pPr>
            <w:r>
              <w:t>Tratamientos y señales explicados</w:t>
            </w:r>
          </w:p>
        </w:tc>
      </w:tr>
      <w:tr>
        <w:trPr>
          <w:cantSplit/>
        </w:trPr>
        <w:tc>
          <w:tcPr>
            <w:tcW w:type="dxa" w:w="2232"/>
            <w:vAlign w:val="center"/>
            <w:tcBorders>
              <w:top w:val="single" w:sz="4" w:color="D9D9D9"/>
              <w:left w:val="single" w:sz="4" w:color="D9D9D9"/>
              <w:bottom w:val="single" w:sz="4" w:color="D9D9D9"/>
              <w:right w:val="single" w:sz="4" w:color="D9D9D9"/>
            </w:tcBorders>
            <w:tcMar>
              <w:top w:w="90" w:type="dxa"/>
              <w:bottom w:w="90" w:type="dxa"/>
              <w:left w:w="90" w:type="dxa"/>
              <w:right w:w="90" w:type="dxa"/>
            </w:tcMar>
          </w:tcPr>
          <w:p>
            <w:pPr>
              <w:spacing w:after="60"/>
            </w:pPr>
            <w:r>
              <w:t>G3 Resiliencia y Seguridad</w:t>
            </w:r>
          </w:p>
        </w:tc>
        <w:tc>
          <w:tcPr>
            <w:tcW w:type="dxa" w:w="3096"/>
            <w:vAlign w:val="center"/>
            <w:tcBorders>
              <w:top w:val="single" w:sz="4" w:color="D9D9D9"/>
              <w:left w:val="single" w:sz="4" w:color="D9D9D9"/>
              <w:bottom w:val="single" w:sz="4" w:color="D9D9D9"/>
              <w:right w:val="single" w:sz="4" w:color="D9D9D9"/>
            </w:tcBorders>
            <w:tcMar>
              <w:top w:w="90" w:type="dxa"/>
              <w:bottom w:w="90" w:type="dxa"/>
              <w:left w:w="90" w:type="dxa"/>
              <w:right w:w="90" w:type="dxa"/>
            </w:tcMar>
          </w:tcPr>
          <w:p>
            <w:pPr>
              <w:spacing w:after="60"/>
            </w:pPr>
            <w:r>
              <w:t>20</w:t>
            </w:r>
          </w:p>
        </w:tc>
        <w:tc>
          <w:tcPr>
            <w:tcW w:type="dxa" w:w="4234"/>
            <w:vAlign w:val="center"/>
            <w:tcBorders>
              <w:top w:val="single" w:sz="4" w:color="D9D9D9"/>
              <w:left w:val="single" w:sz="4" w:color="D9D9D9"/>
              <w:bottom w:val="single" w:sz="4" w:color="D9D9D9"/>
              <w:right w:val="single" w:sz="4" w:color="D9D9D9"/>
            </w:tcBorders>
            <w:tcMar>
              <w:top w:w="90" w:type="dxa"/>
              <w:bottom w:w="90" w:type="dxa"/>
              <w:left w:w="90" w:type="dxa"/>
              <w:right w:w="90" w:type="dxa"/>
            </w:tcMar>
          </w:tcPr>
          <w:p>
            <w:pPr>
              <w:spacing w:after="60"/>
            </w:pPr>
            <w:r>
              <w:t>Fallos controles y recuperación</w:t>
            </w:r>
          </w:p>
        </w:tc>
      </w:tr>
      <w:tr>
        <w:trPr>
          <w:cantSplit/>
        </w:trPr>
        <w:tc>
          <w:tcPr>
            <w:tcW w:type="dxa" w:w="2232"/>
            <w:vAlign w:val="center"/>
            <w:tcBorders>
              <w:top w:val="single" w:sz="4" w:color="D9D9D9"/>
              <w:left w:val="single" w:sz="4" w:color="D9D9D9"/>
              <w:bottom w:val="single" w:sz="4" w:color="D9D9D9"/>
              <w:right w:val="single" w:sz="4" w:color="D9D9D9"/>
            </w:tcBorders>
            <w:tcMar>
              <w:top w:w="90" w:type="dxa"/>
              <w:bottom w:w="90" w:type="dxa"/>
              <w:left w:w="90" w:type="dxa"/>
              <w:right w:w="90" w:type="dxa"/>
            </w:tcMar>
          </w:tcPr>
          <w:p>
            <w:pPr>
              <w:spacing w:after="60"/>
            </w:pPr>
            <w:r>
              <w:t>G4 Persistencia y Mensajería</w:t>
            </w:r>
          </w:p>
        </w:tc>
        <w:tc>
          <w:tcPr>
            <w:tcW w:type="dxa" w:w="3096"/>
            <w:vAlign w:val="center"/>
            <w:tcBorders>
              <w:top w:val="single" w:sz="4" w:color="D9D9D9"/>
              <w:left w:val="single" w:sz="4" w:color="D9D9D9"/>
              <w:bottom w:val="single" w:sz="4" w:color="D9D9D9"/>
              <w:right w:val="single" w:sz="4" w:color="D9D9D9"/>
            </w:tcBorders>
            <w:tcMar>
              <w:top w:w="90" w:type="dxa"/>
              <w:bottom w:w="90" w:type="dxa"/>
              <w:left w:w="90" w:type="dxa"/>
              <w:right w:w="90" w:type="dxa"/>
            </w:tcMar>
          </w:tcPr>
          <w:p>
            <w:pPr>
              <w:spacing w:after="60"/>
            </w:pPr>
            <w:r>
              <w:t>25</w:t>
            </w:r>
          </w:p>
        </w:tc>
        <w:tc>
          <w:tcPr>
            <w:tcW w:type="dxa" w:w="4234"/>
            <w:vAlign w:val="center"/>
            <w:tcBorders>
              <w:top w:val="single" w:sz="4" w:color="D9D9D9"/>
              <w:left w:val="single" w:sz="4" w:color="D9D9D9"/>
              <w:bottom w:val="single" w:sz="4" w:color="D9D9D9"/>
              <w:right w:val="single" w:sz="4" w:color="D9D9D9"/>
            </w:tcBorders>
            <w:tcMar>
              <w:top w:w="90" w:type="dxa"/>
              <w:bottom w:w="90" w:type="dxa"/>
              <w:left w:w="90" w:type="dxa"/>
              <w:right w:w="90" w:type="dxa"/>
            </w:tcMar>
          </w:tcPr>
          <w:p>
            <w:pPr>
              <w:spacing w:after="60"/>
            </w:pPr>
            <w:r>
              <w:t>Reserva única e inventario coherente</w:t>
            </w:r>
          </w:p>
        </w:tc>
      </w:tr>
      <w:tr>
        <w:trPr>
          <w:cantSplit/>
        </w:trPr>
        <w:tc>
          <w:tcPr>
            <w:tcW w:type="dxa" w:w="2232"/>
            <w:vAlign w:val="center"/>
            <w:tcBorders>
              <w:top w:val="single" w:sz="4" w:color="D9D9D9"/>
              <w:left w:val="single" w:sz="4" w:color="D9D9D9"/>
              <w:bottom w:val="single" w:sz="4" w:color="D9D9D9"/>
              <w:right w:val="single" w:sz="4" w:color="D9D9D9"/>
            </w:tcBorders>
            <w:tcMar>
              <w:top w:w="90" w:type="dxa"/>
              <w:bottom w:w="90" w:type="dxa"/>
              <w:left w:w="90" w:type="dxa"/>
              <w:right w:w="90" w:type="dxa"/>
            </w:tcMar>
          </w:tcPr>
          <w:p>
            <w:pPr>
              <w:spacing w:after="60"/>
            </w:pPr>
            <w:r>
              <w:t>G5 Observabilidad y Métricas</w:t>
            </w:r>
          </w:p>
        </w:tc>
        <w:tc>
          <w:tcPr>
            <w:tcW w:type="dxa" w:w="3096"/>
            <w:vAlign w:val="center"/>
            <w:tcBorders>
              <w:top w:val="single" w:sz="4" w:color="D9D9D9"/>
              <w:left w:val="single" w:sz="4" w:color="D9D9D9"/>
              <w:bottom w:val="single" w:sz="4" w:color="D9D9D9"/>
              <w:right w:val="single" w:sz="4" w:color="D9D9D9"/>
            </w:tcBorders>
            <w:tcMar>
              <w:top w:w="90" w:type="dxa"/>
              <w:bottom w:w="90" w:type="dxa"/>
              <w:left w:w="90" w:type="dxa"/>
              <w:right w:w="90" w:type="dxa"/>
            </w:tcMar>
          </w:tcPr>
          <w:p>
            <w:pPr>
              <w:spacing w:after="60"/>
            </w:pPr>
            <w:r>
              <w:t>20</w:t>
            </w:r>
          </w:p>
        </w:tc>
        <w:tc>
          <w:tcPr>
            <w:tcW w:type="dxa" w:w="4234"/>
            <w:vAlign w:val="center"/>
            <w:tcBorders>
              <w:top w:val="single" w:sz="4" w:color="D9D9D9"/>
              <w:left w:val="single" w:sz="4" w:color="D9D9D9"/>
              <w:bottom w:val="single" w:sz="4" w:color="D9D9D9"/>
              <w:right w:val="single" w:sz="4" w:color="D9D9D9"/>
            </w:tcBorders>
            <w:tcMar>
              <w:top w:w="90" w:type="dxa"/>
              <w:bottom w:w="90" w:type="dxa"/>
              <w:left w:w="90" w:type="dxa"/>
              <w:right w:w="90" w:type="dxa"/>
            </w:tcMar>
          </w:tcPr>
          <w:p>
            <w:pPr>
              <w:spacing w:after="60"/>
            </w:pPr>
            <w:r>
              <w:t>Fuentes unidades y paneles</w:t>
            </w:r>
          </w:p>
        </w:tc>
      </w:tr>
      <w:tr>
        <w:trPr>
          <w:cantSplit/>
        </w:trPr>
        <w:tc>
          <w:tcPr>
            <w:tcW w:type="dxa" w:w="2232"/>
            <w:vAlign w:val="center"/>
            <w:tcBorders>
              <w:top w:val="single" w:sz="4" w:color="D9D9D9"/>
              <w:left w:val="single" w:sz="4" w:color="D9D9D9"/>
              <w:bottom w:val="single" w:sz="4" w:color="D9D9D9"/>
              <w:right w:val="single" w:sz="4" w:color="D9D9D9"/>
            </w:tcBorders>
            <w:tcMar>
              <w:top w:w="90" w:type="dxa"/>
              <w:bottom w:w="90" w:type="dxa"/>
              <w:left w:w="90" w:type="dxa"/>
              <w:right w:w="90" w:type="dxa"/>
            </w:tcMar>
          </w:tcPr>
          <w:p>
            <w:pPr>
              <w:spacing w:after="60"/>
            </w:pPr>
            <w:r>
              <w:t>G6 Diseño Experimental</w:t>
            </w:r>
          </w:p>
        </w:tc>
        <w:tc>
          <w:tcPr>
            <w:tcW w:type="dxa" w:w="3096"/>
            <w:vAlign w:val="center"/>
            <w:tcBorders>
              <w:top w:val="single" w:sz="4" w:color="D9D9D9"/>
              <w:left w:val="single" w:sz="4" w:color="D9D9D9"/>
              <w:bottom w:val="single" w:sz="4" w:color="D9D9D9"/>
              <w:right w:val="single" w:sz="4" w:color="D9D9D9"/>
            </w:tcBorders>
            <w:tcMar>
              <w:top w:w="90" w:type="dxa"/>
              <w:bottom w:w="90" w:type="dxa"/>
              <w:left w:w="90" w:type="dxa"/>
              <w:right w:w="90" w:type="dxa"/>
            </w:tcMar>
          </w:tcPr>
          <w:p>
            <w:pPr>
              <w:spacing w:after="60"/>
            </w:pPr>
            <w:r>
              <w:t>25</w:t>
            </w:r>
          </w:p>
        </w:tc>
        <w:tc>
          <w:tcPr>
            <w:tcW w:type="dxa" w:w="4234"/>
            <w:vAlign w:val="center"/>
            <w:tcBorders>
              <w:top w:val="single" w:sz="4" w:color="D9D9D9"/>
              <w:left w:val="single" w:sz="4" w:color="D9D9D9"/>
              <w:bottom w:val="single" w:sz="4" w:color="D9D9D9"/>
              <w:right w:val="single" w:sz="4" w:color="D9D9D9"/>
            </w:tcBorders>
            <w:tcMar>
              <w:top w:w="90" w:type="dxa"/>
              <w:bottom w:w="90" w:type="dxa"/>
              <w:left w:w="90" w:type="dxa"/>
              <w:right w:w="90" w:type="dxa"/>
            </w:tcMar>
          </w:tcPr>
          <w:p>
            <w:pPr>
              <w:spacing w:after="60"/>
            </w:pPr>
            <w:r>
              <w:t>Protocolo e interpretación correcta</w:t>
            </w:r>
          </w:p>
        </w:tc>
      </w:tr>
      <w:tr>
        <w:trPr>
          <w:cantSplit/>
        </w:trPr>
        <w:tc>
          <w:tcPr>
            <w:tcW w:type="dxa" w:w="2232"/>
            <w:vAlign w:val="center"/>
            <w:tcBorders>
              <w:top w:val="single" w:sz="4" w:color="D9D9D9"/>
              <w:left w:val="single" w:sz="4" w:color="D9D9D9"/>
              <w:bottom w:val="single" w:sz="4" w:color="D9D9D9"/>
              <w:right w:val="single" w:sz="4" w:color="D9D9D9"/>
            </w:tcBorders>
            <w:tcMar>
              <w:top w:w="90" w:type="dxa"/>
              <w:bottom w:w="90" w:type="dxa"/>
              <w:left w:w="90" w:type="dxa"/>
              <w:right w:w="90" w:type="dxa"/>
            </w:tcMar>
          </w:tcPr>
          <w:p>
            <w:pPr>
              <w:spacing w:after="60"/>
            </w:pPr>
            <w:r>
              <w:t>Demostración conjunta</w:t>
            </w:r>
          </w:p>
        </w:tc>
        <w:tc>
          <w:tcPr>
            <w:tcW w:type="dxa" w:w="3096"/>
            <w:vAlign w:val="center"/>
            <w:tcBorders>
              <w:top w:val="single" w:sz="4" w:color="D9D9D9"/>
              <w:left w:val="single" w:sz="4" w:color="D9D9D9"/>
              <w:bottom w:val="single" w:sz="4" w:color="D9D9D9"/>
              <w:right w:val="single" w:sz="4" w:color="D9D9D9"/>
            </w:tcBorders>
            <w:tcMar>
              <w:top w:w="90" w:type="dxa"/>
              <w:bottom w:w="90" w:type="dxa"/>
              <w:left w:w="90" w:type="dxa"/>
              <w:right w:w="90" w:type="dxa"/>
            </w:tcMar>
          </w:tcPr>
          <w:p>
            <w:pPr>
              <w:spacing w:after="60"/>
            </w:pPr>
            <w:r>
              <w:t>25</w:t>
            </w:r>
          </w:p>
        </w:tc>
        <w:tc>
          <w:tcPr>
            <w:tcW w:type="dxa" w:w="4234"/>
            <w:vAlign w:val="center"/>
            <w:tcBorders>
              <w:top w:val="single" w:sz="4" w:color="D9D9D9"/>
              <w:left w:val="single" w:sz="4" w:color="D9D9D9"/>
              <w:bottom w:val="single" w:sz="4" w:color="D9D9D9"/>
              <w:right w:val="single" w:sz="4" w:color="D9D9D9"/>
            </w:tcBorders>
            <w:tcMar>
              <w:top w:w="90" w:type="dxa"/>
              <w:bottom w:w="90" w:type="dxa"/>
              <w:left w:w="90" w:type="dxa"/>
              <w:right w:w="90" w:type="dxa"/>
            </w:tcMar>
          </w:tcPr>
          <w:p>
            <w:pPr>
              <w:spacing w:after="60"/>
            </w:pPr>
            <w:r>
              <w:t>Reserva comprobante y consulta</w:t>
            </w:r>
          </w:p>
        </w:tc>
      </w:tr>
      <w:tr>
        <w:trPr>
          <w:cantSplit/>
        </w:trPr>
        <w:tc>
          <w:tcPr>
            <w:tcW w:type="dxa" w:w="2232"/>
            <w:vAlign w:val="center"/>
            <w:tcBorders>
              <w:top w:val="single" w:sz="4" w:color="D9D9D9"/>
              <w:left w:val="single" w:sz="4" w:color="D9D9D9"/>
              <w:bottom w:val="single" w:sz="4" w:color="D9D9D9"/>
              <w:right w:val="single" w:sz="4" w:color="D9D9D9"/>
            </w:tcBorders>
            <w:tcMar>
              <w:top w:w="90" w:type="dxa"/>
              <w:bottom w:w="90" w:type="dxa"/>
              <w:left w:w="90" w:type="dxa"/>
              <w:right w:w="90" w:type="dxa"/>
            </w:tcMar>
          </w:tcPr>
          <w:p>
            <w:pPr>
              <w:spacing w:after="60"/>
            </w:pPr>
            <w:r>
              <w:t>Discusión y cierre</w:t>
            </w:r>
          </w:p>
        </w:tc>
        <w:tc>
          <w:tcPr>
            <w:tcW w:type="dxa" w:w="3096"/>
            <w:vAlign w:val="center"/>
            <w:tcBorders>
              <w:top w:val="single" w:sz="4" w:color="D9D9D9"/>
              <w:left w:val="single" w:sz="4" w:color="D9D9D9"/>
              <w:bottom w:val="single" w:sz="4" w:color="D9D9D9"/>
              <w:right w:val="single" w:sz="4" w:color="D9D9D9"/>
            </w:tcBorders>
            <w:tcMar>
              <w:top w:w="90" w:type="dxa"/>
              <w:bottom w:w="90" w:type="dxa"/>
              <w:left w:w="90" w:type="dxa"/>
              <w:right w:w="90" w:type="dxa"/>
            </w:tcMar>
          </w:tcPr>
          <w:p>
            <w:pPr>
              <w:spacing w:after="60"/>
            </w:pPr>
            <w:r>
              <w:t>15</w:t>
            </w:r>
          </w:p>
        </w:tc>
        <w:tc>
          <w:tcPr>
            <w:tcW w:type="dxa" w:w="4234"/>
            <w:vAlign w:val="center"/>
            <w:tcBorders>
              <w:top w:val="single" w:sz="4" w:color="D9D9D9"/>
              <w:left w:val="single" w:sz="4" w:color="D9D9D9"/>
              <w:bottom w:val="single" w:sz="4" w:color="D9D9D9"/>
              <w:right w:val="single" w:sz="4" w:color="D9D9D9"/>
            </w:tcBorders>
            <w:tcMar>
              <w:top w:w="90" w:type="dxa"/>
              <w:bottom w:w="90" w:type="dxa"/>
              <w:left w:w="90" w:type="dxa"/>
              <w:right w:w="90" w:type="dxa"/>
            </w:tcMar>
          </w:tcPr>
          <w:p>
            <w:pPr>
              <w:spacing w:after="60"/>
            </w:pPr>
            <w:r>
              <w:t>Conclusión y pendientes acordados</w:t>
            </w:r>
          </w:p>
        </w:tc>
      </w:tr>
    </w:tbl>
    <w:p/>
    <w:p>
      <w:r>
        <w:t>La duración es una propuesta adaptable, no una restricción recibida del usuario. Si se necesita una exposición breve, conservar la participación de los seis grupos y reducir explicación de comandos; no eliminar el bloque metodológico ni presentar como probadas las capacidades que no se pudieron demostrar.</w:t>
      </w:r>
    </w:p>
    <w:p>
      <w:pPr>
        <w:pStyle w:val="Heading1"/>
      </w:pPr>
      <w:r>
        <w:t>Preparación antes del seminario</w:t>
      </w:r>
    </w:p>
    <w:p>
      <w:r>
        <w:t>El instructor y G1 comprueban que el laboratorio exclusivo de demostración esté operativo. S18 puede iniciarse desde la raíz con ./frontend/testing/Start-S18.ps1 y publica http://localhost:18083; ese inicio no restablece automáticamente sus datos. La base S18 tenía dos reservas de prueba al cerrar su entrega, por lo que se debe leer el inventario actual y no prometer una cifra inicial fija. No usar la base medida S19 para crear reservas de exposición: alteraría su auditoría histórica.</w:t>
      </w:r>
    </w:p>
    <w:p>
      <w:r>
        <w:t>G3 entrega la clave exclusiva por un canal privado y ensaya su entrada con la proyección oculta. El archivo local .runtime/s18/compose.env no se proyecta, comparte ni adjunta a entregables. La clave del participante permanece en memoria; los identificadores de reserva pueden mostrarse como datos del laboratorio. Preparar un navegador limpio y una pestaña de consulta.</w:t>
      </w:r>
    </w:p>
    <w:p>
      <w:r>
        <w:t>G4 comprueba un evento con al menos un cupo y prepara el registro de disponibilidad inicial A. No reiniciar volúmenes ni modificar inventario frente al público para obtener una cifra esperada. Si se necesita una prueba de último cupo o pérdida de respuesta, debe prepararse y auditarse otra base exclusiva antes de la sesión.</w:t>
      </w:r>
    </w:p>
    <w:p>
      <w:r>
        <w:t>G5 abre las evidencias S19 y verifica su procedencia: cuatro usuarios, tres repeticiones de treinta segundos, 3240 HTTP medidos, 360 reservas nuevas y 180 HTTP de calentamiento separado. G6 verifica que las series y la auditoría correspondan a esa misma topología y conserva un registro de demostración separado.</w:t>
      </w:r>
    </w:p>
    <w:p>
      <w:pPr>
        <w:pStyle w:val="Heading1"/>
      </w:pPr>
      <w:r>
        <w:t>Demostración funcional de veinticinco minutos</w:t>
      </w:r>
    </w:p>
    <w:p>
      <w:pPr>
        <w:pStyle w:val="Heading2"/>
      </w:pPr>
      <w:r>
        <w:t>Minutos cero a cinco</w:t>
      </w:r>
    </w:p>
    <w:p>
      <w:r>
        <w:t>G1 muestra el diagrama de navegador, frontend, API y PostgreSQL y aclara que el entorno es Compose. G3 introduce la clave sin proyectarla. El participante abre el catálogo y G4 selecciona un evento y anota A. Se explica que consultar disponibilidad no bloquea los cupos.</w:t>
      </w:r>
    </w:p>
    <w:p>
      <w:pPr>
        <w:pStyle w:val="Heading2"/>
      </w:pPr>
      <w:r>
        <w:t>Minutos cinco a doce</w:t>
      </w:r>
    </w:p>
    <w:p>
      <w:r>
        <w:t>El participante elige reservar una unidad, revisa y confirma. Se espera el comprobante y se anota su identificador R. G4 explica que el comprobante corresponde a la reserva persistida. Se verifica cantidad uno y disponibilidad A menos uno, si no hay otras operaciones simultáneas en esa base. G5 registra hora, operación y resultado; G6 confirma que se está observando un caso funcional y no una prueba de capacidad máxima.</w:t>
      </w:r>
    </w:p>
    <w:p>
      <w:pPr>
        <w:pStyle w:val="Heading2"/>
      </w:pPr>
      <w:r>
        <w:t>Minutos doce a diecisiete</w:t>
      </w:r>
    </w:p>
    <w:p>
      <w:r>
        <w:t>El participante copia R y consulta la reserva. Se comprueba mismo identificador y cantidad. G3 explica que la autorización se aplica en servidor y que un UUID no concede permiso por sí solo. Finalmente se usa Salir y se verifica que el acceso vuelve a solicitar la clave.</w:t>
      </w:r>
    </w:p>
    <w:p>
      <w:pPr>
        <w:pStyle w:val="Heading2"/>
      </w:pPr>
      <w:r>
        <w:t>Minutos diecisiete a veintidós</w:t>
      </w:r>
    </w:p>
    <w:p>
      <w:r>
        <w:t>G4 explica la idempotencia con las evidencias aisladas de S18 o S19: un 201 y el reenvío 200 conservan el identificador y una sola reserva. No se intenta demostrarlo inventando un doble clic que la interfaz bloquea. La recuperación de respuesta perdida solo se ejecuta si fue ensayada previamente en un entorno dedicado; en caso contrario se muestran el flujo y su evidencia histórica identificada.</w:t>
      </w:r>
    </w:p>
    <w:p>
      <w:pPr>
        <w:pStyle w:val="Heading2"/>
      </w:pPr>
      <w:r>
        <w:t>Minutos veintidós a veinticinco</w:t>
      </w:r>
    </w:p>
    <w:p>
      <w:r>
        <w:t>G2 ubica qué crecería con HPA y qué crecería con KEDA en la ampliación Kafka. G5 muestra las métricas locales y distingue el tablero futuro. G6 compara el registro de la demostración con la pregunta inicial y deja explícito que no se ejecutaron millones de reservas ni autoescalado de clúster.</w:t>
      </w:r>
    </w:p>
    <w:p>
      <w:pPr>
        <w:pStyle w:val="Heading1"/>
      </w:pPr>
      <w:r>
        <w:t>Registro de aceptación de la demostración</w:t>
      </w:r>
    </w:p>
    <w:tbl>
      <w:tblPr>
        <w:tblW w:type="auto" w:w="0"/>
        <w:tblLayout w:type="fixed"/>
        <w:tblLook w:firstColumn="1" w:firstRow="1" w:lastColumn="0" w:lastRow="0" w:noHBand="0" w:noVBand="1" w:val="04A0"/>
      </w:tblPr>
      <w:tblGrid>
        <w:gridCol w:w="2232"/>
        <w:gridCol w:w="3096"/>
        <w:gridCol w:w="4234"/>
      </w:tblGrid>
      <w:tr>
        <w:trPr>
          <w:cantSplit/>
          <w:tblHeader/>
        </w:trPr>
        <w:tc>
          <w:tcPr>
            <w:tcW w:type="dxa" w:w="2232"/>
            <w:vAlign w:val="center"/>
            <w:tcBorders>
              <w:top w:val="single" w:sz="4" w:color="D9D9D9"/>
              <w:left w:val="single" w:sz="4" w:color="D9D9D9"/>
              <w:bottom w:val="single" w:sz="4" w:color="D9D9D9"/>
              <w:right w:val="single" w:sz="4" w:color="D9D9D9"/>
            </w:tcBorders>
            <w:tcMar>
              <w:top w:w="90" w:type="dxa"/>
              <w:bottom w:w="90" w:type="dxa"/>
              <w:left w:w="90" w:type="dxa"/>
              <w:right w:w="90" w:type="dxa"/>
            </w:tcMar>
            <w:shd w:fill="000000"/>
          </w:tcPr>
          <w:p>
            <w:pPr>
              <w:spacing w:after="60"/>
            </w:pPr>
            <w:r>
              <w:rPr>
                <w:b/>
                <w:color w:val="FFFFFF"/>
              </w:rPr>
              <w:t>Campo</w:t>
            </w:r>
          </w:p>
        </w:tc>
        <w:tc>
          <w:tcPr>
            <w:tcW w:type="dxa" w:w="3096"/>
            <w:vAlign w:val="center"/>
            <w:tcBorders>
              <w:top w:val="single" w:sz="4" w:color="D9D9D9"/>
              <w:left w:val="single" w:sz="4" w:color="D9D9D9"/>
              <w:bottom w:val="single" w:sz="4" w:color="D9D9D9"/>
              <w:right w:val="single" w:sz="4" w:color="D9D9D9"/>
            </w:tcBorders>
            <w:tcMar>
              <w:top w:w="90" w:type="dxa"/>
              <w:bottom w:w="90" w:type="dxa"/>
              <w:left w:w="90" w:type="dxa"/>
              <w:right w:w="90" w:type="dxa"/>
            </w:tcMar>
            <w:shd w:fill="000000"/>
          </w:tcPr>
          <w:p>
            <w:pPr>
              <w:spacing w:after="60"/>
            </w:pPr>
            <w:r>
              <w:rPr>
                <w:b/>
                <w:color w:val="FFFFFF"/>
              </w:rPr>
              <w:t>Dato que debe anotarse</w:t>
            </w:r>
          </w:p>
        </w:tc>
        <w:tc>
          <w:tcPr>
            <w:tcW w:type="dxa" w:w="4234"/>
            <w:vAlign w:val="center"/>
            <w:tcBorders>
              <w:top w:val="single" w:sz="4" w:color="D9D9D9"/>
              <w:left w:val="single" w:sz="4" w:color="D9D9D9"/>
              <w:bottom w:val="single" w:sz="4" w:color="D9D9D9"/>
              <w:right w:val="single" w:sz="4" w:color="D9D9D9"/>
            </w:tcBorders>
            <w:tcMar>
              <w:top w:w="90" w:type="dxa"/>
              <w:bottom w:w="90" w:type="dxa"/>
              <w:left w:w="90" w:type="dxa"/>
              <w:right w:w="90" w:type="dxa"/>
            </w:tcMar>
            <w:shd w:fill="000000"/>
          </w:tcPr>
          <w:p>
            <w:pPr>
              <w:spacing w:after="60"/>
            </w:pPr>
            <w:r>
              <w:rPr>
                <w:b/>
                <w:color w:val="FFFFFF"/>
              </w:rPr>
              <w:t>Criterio</w:t>
            </w:r>
          </w:p>
        </w:tc>
      </w:tr>
      <w:tr>
        <w:trPr>
          <w:cantSplit/>
        </w:trPr>
        <w:tc>
          <w:tcPr>
            <w:tcW w:type="dxa" w:w="2232"/>
            <w:vAlign w:val="center"/>
            <w:tcBorders>
              <w:top w:val="single" w:sz="4" w:color="D9D9D9"/>
              <w:left w:val="single" w:sz="4" w:color="D9D9D9"/>
              <w:bottom w:val="single" w:sz="4" w:color="D9D9D9"/>
              <w:right w:val="single" w:sz="4" w:color="D9D9D9"/>
            </w:tcBorders>
            <w:tcMar>
              <w:top w:w="90" w:type="dxa"/>
              <w:bottom w:w="90" w:type="dxa"/>
              <w:left w:w="90" w:type="dxa"/>
              <w:right w:w="90" w:type="dxa"/>
            </w:tcMar>
          </w:tcPr>
          <w:p>
            <w:pPr>
              <w:spacing w:after="60"/>
            </w:pPr>
            <w:r>
              <w:t>Entorno y fecha</w:t>
            </w:r>
          </w:p>
        </w:tc>
        <w:tc>
          <w:tcPr>
            <w:tcW w:type="dxa" w:w="3096"/>
            <w:vAlign w:val="center"/>
            <w:tcBorders>
              <w:top w:val="single" w:sz="4" w:color="D9D9D9"/>
              <w:left w:val="single" w:sz="4" w:color="D9D9D9"/>
              <w:bottom w:val="single" w:sz="4" w:color="D9D9D9"/>
              <w:right w:val="single" w:sz="4" w:color="D9D9D9"/>
            </w:tcBorders>
            <w:tcMar>
              <w:top w:w="90" w:type="dxa"/>
              <w:bottom w:w="90" w:type="dxa"/>
              <w:left w:w="90" w:type="dxa"/>
              <w:right w:w="90" w:type="dxa"/>
            </w:tcMar>
          </w:tcPr>
          <w:p>
            <w:pPr>
              <w:spacing w:after="60"/>
            </w:pPr>
            <w:r>
              <w:t>Proyecto versión y ejecutor</w:t>
            </w:r>
          </w:p>
        </w:tc>
        <w:tc>
          <w:tcPr>
            <w:tcW w:type="dxa" w:w="4234"/>
            <w:vAlign w:val="center"/>
            <w:tcBorders>
              <w:top w:val="single" w:sz="4" w:color="D9D9D9"/>
              <w:left w:val="single" w:sz="4" w:color="D9D9D9"/>
              <w:bottom w:val="single" w:sz="4" w:color="D9D9D9"/>
              <w:right w:val="single" w:sz="4" w:color="D9D9D9"/>
            </w:tcBorders>
            <w:tcMar>
              <w:top w:w="90" w:type="dxa"/>
              <w:bottom w:w="90" w:type="dxa"/>
              <w:left w:w="90" w:type="dxa"/>
              <w:right w:w="90" w:type="dxa"/>
            </w:tcMar>
          </w:tcPr>
          <w:p>
            <w:pPr>
              <w:spacing w:after="60"/>
            </w:pPr>
            <w:r>
              <w:t>Laboratorio exclusivo identificado</w:t>
            </w:r>
          </w:p>
        </w:tc>
      </w:tr>
      <w:tr>
        <w:trPr>
          <w:cantSplit/>
        </w:trPr>
        <w:tc>
          <w:tcPr>
            <w:tcW w:type="dxa" w:w="2232"/>
            <w:vAlign w:val="center"/>
            <w:tcBorders>
              <w:top w:val="single" w:sz="4" w:color="D9D9D9"/>
              <w:left w:val="single" w:sz="4" w:color="D9D9D9"/>
              <w:bottom w:val="single" w:sz="4" w:color="D9D9D9"/>
              <w:right w:val="single" w:sz="4" w:color="D9D9D9"/>
            </w:tcBorders>
            <w:tcMar>
              <w:top w:w="90" w:type="dxa"/>
              <w:bottom w:w="90" w:type="dxa"/>
              <w:left w:w="90" w:type="dxa"/>
              <w:right w:w="90" w:type="dxa"/>
            </w:tcMar>
          </w:tcPr>
          <w:p>
            <w:pPr>
              <w:spacing w:after="60"/>
            </w:pPr>
            <w:r>
              <w:t>Evento e inventario A</w:t>
            </w:r>
          </w:p>
        </w:tc>
        <w:tc>
          <w:tcPr>
            <w:tcW w:type="dxa" w:w="3096"/>
            <w:vAlign w:val="center"/>
            <w:tcBorders>
              <w:top w:val="single" w:sz="4" w:color="D9D9D9"/>
              <w:left w:val="single" w:sz="4" w:color="D9D9D9"/>
              <w:bottom w:val="single" w:sz="4" w:color="D9D9D9"/>
              <w:right w:val="single" w:sz="4" w:color="D9D9D9"/>
            </w:tcBorders>
            <w:tcMar>
              <w:top w:w="90" w:type="dxa"/>
              <w:bottom w:w="90" w:type="dxa"/>
              <w:left w:w="90" w:type="dxa"/>
              <w:right w:w="90" w:type="dxa"/>
            </w:tcMar>
          </w:tcPr>
          <w:p>
            <w:pPr>
              <w:spacing w:after="60"/>
            </w:pPr>
            <w:r>
              <w:t>Identificador y lectura inicial</w:t>
            </w:r>
          </w:p>
        </w:tc>
        <w:tc>
          <w:tcPr>
            <w:tcW w:type="dxa" w:w="4234"/>
            <w:vAlign w:val="center"/>
            <w:tcBorders>
              <w:top w:val="single" w:sz="4" w:color="D9D9D9"/>
              <w:left w:val="single" w:sz="4" w:color="D9D9D9"/>
              <w:bottom w:val="single" w:sz="4" w:color="D9D9D9"/>
              <w:right w:val="single" w:sz="4" w:color="D9D9D9"/>
            </w:tcBorders>
            <w:tcMar>
              <w:top w:w="90" w:type="dxa"/>
              <w:bottom w:w="90" w:type="dxa"/>
              <w:left w:w="90" w:type="dxa"/>
              <w:right w:w="90" w:type="dxa"/>
            </w:tcMar>
          </w:tcPr>
          <w:p>
            <w:pPr>
              <w:spacing w:after="60"/>
            </w:pPr>
            <w:r>
              <w:t>Al menos un cupo</w:t>
            </w:r>
          </w:p>
        </w:tc>
      </w:tr>
      <w:tr>
        <w:trPr>
          <w:cantSplit/>
        </w:trPr>
        <w:tc>
          <w:tcPr>
            <w:tcW w:type="dxa" w:w="2232"/>
            <w:vAlign w:val="center"/>
            <w:tcBorders>
              <w:top w:val="single" w:sz="4" w:color="D9D9D9"/>
              <w:left w:val="single" w:sz="4" w:color="D9D9D9"/>
              <w:bottom w:val="single" w:sz="4" w:color="D9D9D9"/>
              <w:right w:val="single" w:sz="4" w:color="D9D9D9"/>
            </w:tcBorders>
            <w:tcMar>
              <w:top w:w="90" w:type="dxa"/>
              <w:bottom w:w="90" w:type="dxa"/>
              <w:left w:w="90" w:type="dxa"/>
              <w:right w:w="90" w:type="dxa"/>
            </w:tcMar>
          </w:tcPr>
          <w:p>
            <w:pPr>
              <w:spacing w:after="60"/>
            </w:pPr>
            <w:r>
              <w:t>Reserva R</w:t>
            </w:r>
          </w:p>
        </w:tc>
        <w:tc>
          <w:tcPr>
            <w:tcW w:type="dxa" w:w="3096"/>
            <w:vAlign w:val="center"/>
            <w:tcBorders>
              <w:top w:val="single" w:sz="4" w:color="D9D9D9"/>
              <w:left w:val="single" w:sz="4" w:color="D9D9D9"/>
              <w:bottom w:val="single" w:sz="4" w:color="D9D9D9"/>
              <w:right w:val="single" w:sz="4" w:color="D9D9D9"/>
            </w:tcBorders>
            <w:tcMar>
              <w:top w:w="90" w:type="dxa"/>
              <w:bottom w:w="90" w:type="dxa"/>
              <w:left w:w="90" w:type="dxa"/>
              <w:right w:w="90" w:type="dxa"/>
            </w:tcMar>
          </w:tcPr>
          <w:p>
            <w:pPr>
              <w:spacing w:after="60"/>
            </w:pPr>
            <w:r>
              <w:t>Identificador cantidad y resultado</w:t>
            </w:r>
          </w:p>
        </w:tc>
        <w:tc>
          <w:tcPr>
            <w:tcW w:type="dxa" w:w="4234"/>
            <w:vAlign w:val="center"/>
            <w:tcBorders>
              <w:top w:val="single" w:sz="4" w:color="D9D9D9"/>
              <w:left w:val="single" w:sz="4" w:color="D9D9D9"/>
              <w:bottom w:val="single" w:sz="4" w:color="D9D9D9"/>
              <w:right w:val="single" w:sz="4" w:color="D9D9D9"/>
            </w:tcBorders>
            <w:tcMar>
              <w:top w:w="90" w:type="dxa"/>
              <w:bottom w:w="90" w:type="dxa"/>
              <w:left w:w="90" w:type="dxa"/>
              <w:right w:w="90" w:type="dxa"/>
            </w:tcMar>
          </w:tcPr>
          <w:p>
            <w:pPr>
              <w:spacing w:after="60"/>
            </w:pPr>
            <w:r>
              <w:t>Confirmación persistida de una unidad</w:t>
            </w:r>
          </w:p>
        </w:tc>
      </w:tr>
      <w:tr>
        <w:trPr>
          <w:cantSplit/>
        </w:trPr>
        <w:tc>
          <w:tcPr>
            <w:tcW w:type="dxa" w:w="2232"/>
            <w:vAlign w:val="center"/>
            <w:tcBorders>
              <w:top w:val="single" w:sz="4" w:color="D9D9D9"/>
              <w:left w:val="single" w:sz="4" w:color="D9D9D9"/>
              <w:bottom w:val="single" w:sz="4" w:color="D9D9D9"/>
              <w:right w:val="single" w:sz="4" w:color="D9D9D9"/>
            </w:tcBorders>
            <w:tcMar>
              <w:top w:w="90" w:type="dxa"/>
              <w:bottom w:w="90" w:type="dxa"/>
              <w:left w:w="90" w:type="dxa"/>
              <w:right w:w="90" w:type="dxa"/>
            </w:tcMar>
          </w:tcPr>
          <w:p>
            <w:pPr>
              <w:spacing w:after="60"/>
            </w:pPr>
            <w:r>
              <w:t>Inventario final</w:t>
            </w:r>
          </w:p>
        </w:tc>
        <w:tc>
          <w:tcPr>
            <w:tcW w:type="dxa" w:w="3096"/>
            <w:vAlign w:val="center"/>
            <w:tcBorders>
              <w:top w:val="single" w:sz="4" w:color="D9D9D9"/>
              <w:left w:val="single" w:sz="4" w:color="D9D9D9"/>
              <w:bottom w:val="single" w:sz="4" w:color="D9D9D9"/>
              <w:right w:val="single" w:sz="4" w:color="D9D9D9"/>
            </w:tcBorders>
            <w:tcMar>
              <w:top w:w="90" w:type="dxa"/>
              <w:bottom w:w="90" w:type="dxa"/>
              <w:left w:w="90" w:type="dxa"/>
              <w:right w:w="90" w:type="dxa"/>
            </w:tcMar>
          </w:tcPr>
          <w:p>
            <w:pPr>
              <w:spacing w:after="60"/>
            </w:pPr>
            <w:r>
              <w:t>Lectura posterior</w:t>
            </w:r>
          </w:p>
        </w:tc>
        <w:tc>
          <w:tcPr>
            <w:tcW w:type="dxa" w:w="4234"/>
            <w:vAlign w:val="center"/>
            <w:tcBorders>
              <w:top w:val="single" w:sz="4" w:color="D9D9D9"/>
              <w:left w:val="single" w:sz="4" w:color="D9D9D9"/>
              <w:bottom w:val="single" w:sz="4" w:color="D9D9D9"/>
              <w:right w:val="single" w:sz="4" w:color="D9D9D9"/>
            </w:tcBorders>
            <w:tcMar>
              <w:top w:w="90" w:type="dxa"/>
              <w:bottom w:w="90" w:type="dxa"/>
              <w:left w:w="90" w:type="dxa"/>
              <w:right w:w="90" w:type="dxa"/>
            </w:tcMar>
          </w:tcPr>
          <w:p>
            <w:pPr>
              <w:spacing w:after="60"/>
            </w:pPr>
            <w:r>
              <w:t>A menos uno sin operaciones ajenas</w:t>
            </w:r>
          </w:p>
        </w:tc>
      </w:tr>
      <w:tr>
        <w:trPr>
          <w:cantSplit/>
        </w:trPr>
        <w:tc>
          <w:tcPr>
            <w:tcW w:type="dxa" w:w="2232"/>
            <w:vAlign w:val="center"/>
            <w:tcBorders>
              <w:top w:val="single" w:sz="4" w:color="D9D9D9"/>
              <w:left w:val="single" w:sz="4" w:color="D9D9D9"/>
              <w:bottom w:val="single" w:sz="4" w:color="D9D9D9"/>
              <w:right w:val="single" w:sz="4" w:color="D9D9D9"/>
            </w:tcBorders>
            <w:tcMar>
              <w:top w:w="90" w:type="dxa"/>
              <w:bottom w:w="90" w:type="dxa"/>
              <w:left w:w="90" w:type="dxa"/>
              <w:right w:w="90" w:type="dxa"/>
            </w:tcMar>
          </w:tcPr>
          <w:p>
            <w:pPr>
              <w:spacing w:after="60"/>
            </w:pPr>
            <w:r>
              <w:t>Consulta</w:t>
            </w:r>
          </w:p>
        </w:tc>
        <w:tc>
          <w:tcPr>
            <w:tcW w:type="dxa" w:w="3096"/>
            <w:vAlign w:val="center"/>
            <w:tcBorders>
              <w:top w:val="single" w:sz="4" w:color="D9D9D9"/>
              <w:left w:val="single" w:sz="4" w:color="D9D9D9"/>
              <w:bottom w:val="single" w:sz="4" w:color="D9D9D9"/>
              <w:right w:val="single" w:sz="4" w:color="D9D9D9"/>
            </w:tcBorders>
            <w:tcMar>
              <w:top w:w="90" w:type="dxa"/>
              <w:bottom w:w="90" w:type="dxa"/>
              <w:left w:w="90" w:type="dxa"/>
              <w:right w:w="90" w:type="dxa"/>
            </w:tcMar>
          </w:tcPr>
          <w:p>
            <w:pPr>
              <w:spacing w:after="60"/>
            </w:pPr>
            <w:r>
              <w:t>ID y cantidad observados</w:t>
            </w:r>
          </w:p>
        </w:tc>
        <w:tc>
          <w:tcPr>
            <w:tcW w:type="dxa" w:w="4234"/>
            <w:vAlign w:val="center"/>
            <w:tcBorders>
              <w:top w:val="single" w:sz="4" w:color="D9D9D9"/>
              <w:left w:val="single" w:sz="4" w:color="D9D9D9"/>
              <w:bottom w:val="single" w:sz="4" w:color="D9D9D9"/>
              <w:right w:val="single" w:sz="4" w:color="D9D9D9"/>
            </w:tcBorders>
            <w:tcMar>
              <w:top w:w="90" w:type="dxa"/>
              <w:bottom w:w="90" w:type="dxa"/>
              <w:left w:w="90" w:type="dxa"/>
              <w:right w:w="90" w:type="dxa"/>
            </w:tcMar>
          </w:tcPr>
          <w:p>
            <w:pPr>
              <w:spacing w:after="60"/>
            </w:pPr>
            <w:r>
              <w:t>Coinciden con R</w:t>
            </w:r>
          </w:p>
        </w:tc>
      </w:tr>
      <w:tr>
        <w:trPr>
          <w:cantSplit/>
        </w:trPr>
        <w:tc>
          <w:tcPr>
            <w:tcW w:type="dxa" w:w="2232"/>
            <w:vAlign w:val="center"/>
            <w:tcBorders>
              <w:top w:val="single" w:sz="4" w:color="D9D9D9"/>
              <w:left w:val="single" w:sz="4" w:color="D9D9D9"/>
              <w:bottom w:val="single" w:sz="4" w:color="D9D9D9"/>
              <w:right w:val="single" w:sz="4" w:color="D9D9D9"/>
            </w:tcBorders>
            <w:tcMar>
              <w:top w:w="90" w:type="dxa"/>
              <w:bottom w:w="90" w:type="dxa"/>
              <w:left w:w="90" w:type="dxa"/>
              <w:right w:w="90" w:type="dxa"/>
            </w:tcMar>
          </w:tcPr>
          <w:p>
            <w:pPr>
              <w:spacing w:after="60"/>
            </w:pPr>
            <w:r>
              <w:t>Salida</w:t>
            </w:r>
          </w:p>
        </w:tc>
        <w:tc>
          <w:tcPr>
            <w:tcW w:type="dxa" w:w="3096"/>
            <w:vAlign w:val="center"/>
            <w:tcBorders>
              <w:top w:val="single" w:sz="4" w:color="D9D9D9"/>
              <w:left w:val="single" w:sz="4" w:color="D9D9D9"/>
              <w:bottom w:val="single" w:sz="4" w:color="D9D9D9"/>
              <w:right w:val="single" w:sz="4" w:color="D9D9D9"/>
            </w:tcBorders>
            <w:tcMar>
              <w:top w:w="90" w:type="dxa"/>
              <w:bottom w:w="90" w:type="dxa"/>
              <w:left w:w="90" w:type="dxa"/>
              <w:right w:w="90" w:type="dxa"/>
            </w:tcMar>
          </w:tcPr>
          <w:p>
            <w:pPr>
              <w:spacing w:after="60"/>
            </w:pPr>
            <w:r>
              <w:t>Pantalla de acceso</w:t>
            </w:r>
          </w:p>
        </w:tc>
        <w:tc>
          <w:tcPr>
            <w:tcW w:type="dxa" w:w="4234"/>
            <w:vAlign w:val="center"/>
            <w:tcBorders>
              <w:top w:val="single" w:sz="4" w:color="D9D9D9"/>
              <w:left w:val="single" w:sz="4" w:color="D9D9D9"/>
              <w:bottom w:val="single" w:sz="4" w:color="D9D9D9"/>
              <w:right w:val="single" w:sz="4" w:color="D9D9D9"/>
            </w:tcBorders>
            <w:tcMar>
              <w:top w:w="90" w:type="dxa"/>
              <w:bottom w:w="90" w:type="dxa"/>
              <w:left w:w="90" w:type="dxa"/>
              <w:right w:w="90" w:type="dxa"/>
            </w:tcMar>
          </w:tcPr>
          <w:p>
            <w:pPr>
              <w:spacing w:after="60"/>
            </w:pPr>
            <w:r>
              <w:t>Clave no conservada en la interfaz</w:t>
            </w:r>
          </w:p>
        </w:tc>
      </w:tr>
      <w:tr>
        <w:trPr>
          <w:cantSplit/>
        </w:trPr>
        <w:tc>
          <w:tcPr>
            <w:tcW w:type="dxa" w:w="2232"/>
            <w:vAlign w:val="center"/>
            <w:tcBorders>
              <w:top w:val="single" w:sz="4" w:color="D9D9D9"/>
              <w:left w:val="single" w:sz="4" w:color="D9D9D9"/>
              <w:bottom w:val="single" w:sz="4" w:color="D9D9D9"/>
              <w:right w:val="single" w:sz="4" w:color="D9D9D9"/>
            </w:tcBorders>
            <w:tcMar>
              <w:top w:w="90" w:type="dxa"/>
              <w:bottom w:w="90" w:type="dxa"/>
              <w:left w:w="90" w:type="dxa"/>
              <w:right w:w="90" w:type="dxa"/>
            </w:tcMar>
          </w:tcPr>
          <w:p>
            <w:pPr>
              <w:spacing w:after="60"/>
            </w:pPr>
            <w:r>
              <w:t>Incidencias</w:t>
            </w:r>
          </w:p>
        </w:tc>
        <w:tc>
          <w:tcPr>
            <w:tcW w:type="dxa" w:w="3096"/>
            <w:vAlign w:val="center"/>
            <w:tcBorders>
              <w:top w:val="single" w:sz="4" w:color="D9D9D9"/>
              <w:left w:val="single" w:sz="4" w:color="D9D9D9"/>
              <w:bottom w:val="single" w:sz="4" w:color="D9D9D9"/>
              <w:right w:val="single" w:sz="4" w:color="D9D9D9"/>
            </w:tcBorders>
            <w:tcMar>
              <w:top w:w="90" w:type="dxa"/>
              <w:bottom w:w="90" w:type="dxa"/>
              <w:left w:w="90" w:type="dxa"/>
              <w:right w:w="90" w:type="dxa"/>
            </w:tcMar>
          </w:tcPr>
          <w:p>
            <w:pPr>
              <w:spacing w:after="60"/>
            </w:pPr>
            <w:r>
              <w:t>Error y evidencia</w:t>
            </w:r>
          </w:p>
        </w:tc>
        <w:tc>
          <w:tcPr>
            <w:tcW w:type="dxa" w:w="4234"/>
            <w:vAlign w:val="center"/>
            <w:tcBorders>
              <w:top w:val="single" w:sz="4" w:color="D9D9D9"/>
              <w:left w:val="single" w:sz="4" w:color="D9D9D9"/>
              <w:bottom w:val="single" w:sz="4" w:color="D9D9D9"/>
              <w:right w:val="single" w:sz="4" w:color="D9D9D9"/>
            </w:tcBorders>
            <w:tcMar>
              <w:top w:w="90" w:type="dxa"/>
              <w:bottom w:w="90" w:type="dxa"/>
              <w:left w:w="90" w:type="dxa"/>
              <w:right w:w="90" w:type="dxa"/>
            </w:tcMar>
          </w:tcPr>
          <w:p>
            <w:pPr>
              <w:spacing w:after="60"/>
            </w:pPr>
            <w:r>
              <w:t>Sin alterar datos para ocultarlo</w:t>
            </w:r>
          </w:p>
        </w:tc>
      </w:tr>
    </w:tbl>
    <w:p/>
    <w:p>
      <w:r>
        <w:t>Si falla el acceso, la base o la disponibilidad, detener escrituras y utilizar capturas y resultados ya preparados, indicando fecha y entorno. Una evidencia histórica puede explicar el mecanismo, pero no se registra como una demostración en vivo exitosa. La sesión no requiere hacer fallar servicios de otros proyectos.</w:t>
      </w:r>
    </w:p>
    <w:p>
      <w:pPr>
        <w:pStyle w:val="Heading1"/>
      </w:pPr>
      <w:r>
        <w:t>Qué debe investigar cada grupo</w:t>
      </w:r>
    </w:p>
    <w:p>
      <w:r>
        <w:t>G1 justifica la arquitectura y distingue lo construido de un comparador monolítico todavía inexistente. G2 relaciona HPA, VPA, nodos y KEDA con señales y condiciones separadas. G3 analiza fallos, SCC, seguridad, malla y definición de disponibilidad. G4 sustenta ACID, idempotencia, CAP en su contexto y mensajería posterior al commit. G5 entrega diccionario de métricas, paneles y plan de trazas. G6 operacionaliza hipótesis y prepara diseño, corridas, análisis y límites.</w:t>
      </w:r>
    </w:p>
    <w:p>
      <w:r>
        <w:t>La revisión semanal debe responder qué cambió, con qué versión, por qué se decidió, qué se verificó y dónde están los datos. Un manifiesto sin aplicar se registra como preparado; una gráfica sin origen no es evidencia; un resultado de Compose no se atribuye a OpenShift.</w:t>
      </w:r>
    </w:p>
    <w:p>
      <w:pPr>
        <w:pStyle w:val="Heading1"/>
      </w:pPr>
      <w:r>
        <w:t>Evaluación académica propuesta</w:t>
      </w:r>
    </w:p>
    <w:tbl>
      <w:tblPr>
        <w:tblW w:type="auto" w:w="0"/>
        <w:tblLayout w:type="fixed"/>
        <w:tblLook w:firstColumn="1" w:firstRow="1" w:lastColumn="0" w:lastRow="0" w:noHBand="0" w:noVBand="1" w:val="04A0"/>
      </w:tblPr>
      <w:tblGrid>
        <w:gridCol w:w="2232"/>
        <w:gridCol w:w="3096"/>
        <w:gridCol w:w="4234"/>
      </w:tblGrid>
      <w:tr>
        <w:trPr>
          <w:cantSplit/>
          <w:tblHeader/>
        </w:trPr>
        <w:tc>
          <w:tcPr>
            <w:tcW w:type="dxa" w:w="2232"/>
            <w:vAlign w:val="center"/>
            <w:tcBorders>
              <w:top w:val="single" w:sz="4" w:color="D9D9D9"/>
              <w:left w:val="single" w:sz="4" w:color="D9D9D9"/>
              <w:bottom w:val="single" w:sz="4" w:color="D9D9D9"/>
              <w:right w:val="single" w:sz="4" w:color="D9D9D9"/>
            </w:tcBorders>
            <w:tcMar>
              <w:top w:w="90" w:type="dxa"/>
              <w:bottom w:w="90" w:type="dxa"/>
              <w:left w:w="90" w:type="dxa"/>
              <w:right w:w="90" w:type="dxa"/>
            </w:tcMar>
            <w:shd w:fill="000000"/>
          </w:tcPr>
          <w:p>
            <w:pPr>
              <w:spacing w:after="60"/>
            </w:pPr>
            <w:r>
              <w:rPr>
                <w:b/>
                <w:color w:val="FFFFFF"/>
              </w:rPr>
              <w:t>Dimensión</w:t>
            </w:r>
          </w:p>
        </w:tc>
        <w:tc>
          <w:tcPr>
            <w:tcW w:type="dxa" w:w="3096"/>
            <w:vAlign w:val="center"/>
            <w:tcBorders>
              <w:top w:val="single" w:sz="4" w:color="D9D9D9"/>
              <w:left w:val="single" w:sz="4" w:color="D9D9D9"/>
              <w:bottom w:val="single" w:sz="4" w:color="D9D9D9"/>
              <w:right w:val="single" w:sz="4" w:color="D9D9D9"/>
            </w:tcBorders>
            <w:tcMar>
              <w:top w:w="90" w:type="dxa"/>
              <w:bottom w:w="90" w:type="dxa"/>
              <w:left w:w="90" w:type="dxa"/>
              <w:right w:w="90" w:type="dxa"/>
            </w:tcMar>
            <w:shd w:fill="000000"/>
          </w:tcPr>
          <w:p>
            <w:pPr>
              <w:spacing w:after="60"/>
            </w:pPr>
            <w:r>
              <w:rPr>
                <w:b/>
                <w:color w:val="FFFFFF"/>
              </w:rPr>
              <w:t>Peso propuesto</w:t>
            </w:r>
          </w:p>
        </w:tc>
        <w:tc>
          <w:tcPr>
            <w:tcW w:type="dxa" w:w="4234"/>
            <w:vAlign w:val="center"/>
            <w:tcBorders>
              <w:top w:val="single" w:sz="4" w:color="D9D9D9"/>
              <w:left w:val="single" w:sz="4" w:color="D9D9D9"/>
              <w:bottom w:val="single" w:sz="4" w:color="D9D9D9"/>
              <w:right w:val="single" w:sz="4" w:color="D9D9D9"/>
            </w:tcBorders>
            <w:tcMar>
              <w:top w:w="90" w:type="dxa"/>
              <w:bottom w:w="90" w:type="dxa"/>
              <w:left w:w="90" w:type="dxa"/>
              <w:right w:w="90" w:type="dxa"/>
            </w:tcMar>
            <w:shd w:fill="000000"/>
          </w:tcPr>
          <w:p>
            <w:pPr>
              <w:spacing w:after="60"/>
            </w:pPr>
            <w:r>
              <w:rPr>
                <w:b/>
                <w:color w:val="FFFFFF"/>
              </w:rPr>
              <w:t>Evidencia esperada</w:t>
            </w:r>
          </w:p>
        </w:tc>
      </w:tr>
      <w:tr>
        <w:trPr>
          <w:cantSplit/>
        </w:trPr>
        <w:tc>
          <w:tcPr>
            <w:tcW w:type="dxa" w:w="2232"/>
            <w:vAlign w:val="center"/>
            <w:tcBorders>
              <w:top w:val="single" w:sz="4" w:color="D9D9D9"/>
              <w:left w:val="single" w:sz="4" w:color="D9D9D9"/>
              <w:bottom w:val="single" w:sz="4" w:color="D9D9D9"/>
              <w:right w:val="single" w:sz="4" w:color="D9D9D9"/>
            </w:tcBorders>
            <w:tcMar>
              <w:top w:w="90" w:type="dxa"/>
              <w:bottom w:w="90" w:type="dxa"/>
              <w:left w:w="90" w:type="dxa"/>
              <w:right w:w="90" w:type="dxa"/>
            </w:tcMar>
          </w:tcPr>
          <w:p>
            <w:pPr>
              <w:spacing w:after="60"/>
            </w:pPr>
            <w:r>
              <w:t>Fundamento y fuentes</w:t>
            </w:r>
          </w:p>
        </w:tc>
        <w:tc>
          <w:tcPr>
            <w:tcW w:type="dxa" w:w="3096"/>
            <w:vAlign w:val="center"/>
            <w:tcBorders>
              <w:top w:val="single" w:sz="4" w:color="D9D9D9"/>
              <w:left w:val="single" w:sz="4" w:color="D9D9D9"/>
              <w:bottom w:val="single" w:sz="4" w:color="D9D9D9"/>
              <w:right w:val="single" w:sz="4" w:color="D9D9D9"/>
            </w:tcBorders>
            <w:tcMar>
              <w:top w:w="90" w:type="dxa"/>
              <w:bottom w:w="90" w:type="dxa"/>
              <w:left w:w="90" w:type="dxa"/>
              <w:right w:w="90" w:type="dxa"/>
            </w:tcMar>
          </w:tcPr>
          <w:p>
            <w:pPr>
              <w:spacing w:after="60"/>
            </w:pPr>
            <w:r>
              <w:t>20 por ciento</w:t>
            </w:r>
          </w:p>
        </w:tc>
        <w:tc>
          <w:tcPr>
            <w:tcW w:type="dxa" w:w="4234"/>
            <w:vAlign w:val="center"/>
            <w:tcBorders>
              <w:top w:val="single" w:sz="4" w:color="D9D9D9"/>
              <w:left w:val="single" w:sz="4" w:color="D9D9D9"/>
              <w:bottom w:val="single" w:sz="4" w:color="D9D9D9"/>
              <w:right w:val="single" w:sz="4" w:color="D9D9D9"/>
            </w:tcBorders>
            <w:tcMar>
              <w:top w:w="90" w:type="dxa"/>
              <w:bottom w:w="90" w:type="dxa"/>
              <w:left w:w="90" w:type="dxa"/>
              <w:right w:w="90" w:type="dxa"/>
            </w:tcMar>
          </w:tcPr>
          <w:p>
            <w:pPr>
              <w:spacing w:after="60"/>
            </w:pPr>
            <w:r>
              <w:t>Conceptos correctos y referencias primarias</w:t>
            </w:r>
          </w:p>
        </w:tc>
      </w:tr>
      <w:tr>
        <w:trPr>
          <w:cantSplit/>
        </w:trPr>
        <w:tc>
          <w:tcPr>
            <w:tcW w:type="dxa" w:w="2232"/>
            <w:vAlign w:val="center"/>
            <w:tcBorders>
              <w:top w:val="single" w:sz="4" w:color="D9D9D9"/>
              <w:left w:val="single" w:sz="4" w:color="D9D9D9"/>
              <w:bottom w:val="single" w:sz="4" w:color="D9D9D9"/>
              <w:right w:val="single" w:sz="4" w:color="D9D9D9"/>
            </w:tcBorders>
            <w:tcMar>
              <w:top w:w="90" w:type="dxa"/>
              <w:bottom w:w="90" w:type="dxa"/>
              <w:left w:w="90" w:type="dxa"/>
              <w:right w:w="90" w:type="dxa"/>
            </w:tcMar>
          </w:tcPr>
          <w:p>
            <w:pPr>
              <w:spacing w:after="60"/>
            </w:pPr>
            <w:r>
              <w:t>Aplicación a reservas</w:t>
            </w:r>
          </w:p>
        </w:tc>
        <w:tc>
          <w:tcPr>
            <w:tcW w:type="dxa" w:w="3096"/>
            <w:vAlign w:val="center"/>
            <w:tcBorders>
              <w:top w:val="single" w:sz="4" w:color="D9D9D9"/>
              <w:left w:val="single" w:sz="4" w:color="D9D9D9"/>
              <w:bottom w:val="single" w:sz="4" w:color="D9D9D9"/>
              <w:right w:val="single" w:sz="4" w:color="D9D9D9"/>
            </w:tcBorders>
            <w:tcMar>
              <w:top w:w="90" w:type="dxa"/>
              <w:bottom w:w="90" w:type="dxa"/>
              <w:left w:w="90" w:type="dxa"/>
              <w:right w:w="90" w:type="dxa"/>
            </w:tcMar>
          </w:tcPr>
          <w:p>
            <w:pPr>
              <w:spacing w:after="60"/>
            </w:pPr>
            <w:r>
              <w:t>25 por ciento</w:t>
            </w:r>
          </w:p>
        </w:tc>
        <w:tc>
          <w:tcPr>
            <w:tcW w:type="dxa" w:w="4234"/>
            <w:vAlign w:val="center"/>
            <w:tcBorders>
              <w:top w:val="single" w:sz="4" w:color="D9D9D9"/>
              <w:left w:val="single" w:sz="4" w:color="D9D9D9"/>
              <w:bottom w:val="single" w:sz="4" w:color="D9D9D9"/>
              <w:right w:val="single" w:sz="4" w:color="D9D9D9"/>
            </w:tcBorders>
            <w:tcMar>
              <w:top w:w="90" w:type="dxa"/>
              <w:bottom w:w="90" w:type="dxa"/>
              <w:left w:w="90" w:type="dxa"/>
              <w:right w:w="90" w:type="dxa"/>
            </w:tcMar>
          </w:tcPr>
          <w:p>
            <w:pPr>
              <w:spacing w:after="60"/>
            </w:pPr>
            <w:r>
              <w:t>Decisiones vinculadas al caso propio</w:t>
            </w:r>
          </w:p>
        </w:tc>
      </w:tr>
      <w:tr>
        <w:trPr>
          <w:cantSplit/>
        </w:trPr>
        <w:tc>
          <w:tcPr>
            <w:tcW w:type="dxa" w:w="2232"/>
            <w:vAlign w:val="center"/>
            <w:tcBorders>
              <w:top w:val="single" w:sz="4" w:color="D9D9D9"/>
              <w:left w:val="single" w:sz="4" w:color="D9D9D9"/>
              <w:bottom w:val="single" w:sz="4" w:color="D9D9D9"/>
              <w:right w:val="single" w:sz="4" w:color="D9D9D9"/>
            </w:tcBorders>
            <w:tcMar>
              <w:top w:w="90" w:type="dxa"/>
              <w:bottom w:w="90" w:type="dxa"/>
              <w:left w:w="90" w:type="dxa"/>
              <w:right w:w="90" w:type="dxa"/>
            </w:tcMar>
          </w:tcPr>
          <w:p>
            <w:pPr>
              <w:spacing w:after="60"/>
            </w:pPr>
            <w:r>
              <w:t>Artefactos y configuración</w:t>
            </w:r>
          </w:p>
        </w:tc>
        <w:tc>
          <w:tcPr>
            <w:tcW w:type="dxa" w:w="3096"/>
            <w:vAlign w:val="center"/>
            <w:tcBorders>
              <w:top w:val="single" w:sz="4" w:color="D9D9D9"/>
              <w:left w:val="single" w:sz="4" w:color="D9D9D9"/>
              <w:bottom w:val="single" w:sz="4" w:color="D9D9D9"/>
              <w:right w:val="single" w:sz="4" w:color="D9D9D9"/>
            </w:tcBorders>
            <w:tcMar>
              <w:top w:w="90" w:type="dxa"/>
              <w:bottom w:w="90" w:type="dxa"/>
              <w:left w:w="90" w:type="dxa"/>
              <w:right w:w="90" w:type="dxa"/>
            </w:tcMar>
          </w:tcPr>
          <w:p>
            <w:pPr>
              <w:spacing w:after="60"/>
            </w:pPr>
            <w:r>
              <w:t>20 por ciento</w:t>
            </w:r>
          </w:p>
        </w:tc>
        <w:tc>
          <w:tcPr>
            <w:tcW w:type="dxa" w:w="4234"/>
            <w:vAlign w:val="center"/>
            <w:tcBorders>
              <w:top w:val="single" w:sz="4" w:color="D9D9D9"/>
              <w:left w:val="single" w:sz="4" w:color="D9D9D9"/>
              <w:bottom w:val="single" w:sz="4" w:color="D9D9D9"/>
              <w:right w:val="single" w:sz="4" w:color="D9D9D9"/>
            </w:tcBorders>
            <w:tcMar>
              <w:top w:w="90" w:type="dxa"/>
              <w:bottom w:w="90" w:type="dxa"/>
              <w:left w:w="90" w:type="dxa"/>
              <w:right w:w="90" w:type="dxa"/>
            </w:tcMar>
          </w:tcPr>
          <w:p>
            <w:pPr>
              <w:spacing w:after="60"/>
            </w:pPr>
            <w:r>
              <w:t>Material editable y versiones claras</w:t>
            </w:r>
          </w:p>
        </w:tc>
      </w:tr>
      <w:tr>
        <w:trPr>
          <w:cantSplit/>
        </w:trPr>
        <w:tc>
          <w:tcPr>
            <w:tcW w:type="dxa" w:w="2232"/>
            <w:vAlign w:val="center"/>
            <w:tcBorders>
              <w:top w:val="single" w:sz="4" w:color="D9D9D9"/>
              <w:left w:val="single" w:sz="4" w:color="D9D9D9"/>
              <w:bottom w:val="single" w:sz="4" w:color="D9D9D9"/>
              <w:right w:val="single" w:sz="4" w:color="D9D9D9"/>
            </w:tcBorders>
            <w:tcMar>
              <w:top w:w="90" w:type="dxa"/>
              <w:bottom w:w="90" w:type="dxa"/>
              <w:left w:w="90" w:type="dxa"/>
              <w:right w:w="90" w:type="dxa"/>
            </w:tcMar>
          </w:tcPr>
          <w:p>
            <w:pPr>
              <w:spacing w:after="60"/>
            </w:pPr>
            <w:r>
              <w:t>Pruebas y trazabilidad</w:t>
            </w:r>
          </w:p>
        </w:tc>
        <w:tc>
          <w:tcPr>
            <w:tcW w:type="dxa" w:w="3096"/>
            <w:vAlign w:val="center"/>
            <w:tcBorders>
              <w:top w:val="single" w:sz="4" w:color="D9D9D9"/>
              <w:left w:val="single" w:sz="4" w:color="D9D9D9"/>
              <w:bottom w:val="single" w:sz="4" w:color="D9D9D9"/>
              <w:right w:val="single" w:sz="4" w:color="D9D9D9"/>
            </w:tcBorders>
            <w:tcMar>
              <w:top w:w="90" w:type="dxa"/>
              <w:bottom w:w="90" w:type="dxa"/>
              <w:left w:w="90" w:type="dxa"/>
              <w:right w:w="90" w:type="dxa"/>
            </w:tcMar>
          </w:tcPr>
          <w:p>
            <w:pPr>
              <w:spacing w:after="60"/>
            </w:pPr>
            <w:r>
              <w:t>25 por ciento</w:t>
            </w:r>
          </w:p>
        </w:tc>
        <w:tc>
          <w:tcPr>
            <w:tcW w:type="dxa" w:w="4234"/>
            <w:vAlign w:val="center"/>
            <w:tcBorders>
              <w:top w:val="single" w:sz="4" w:color="D9D9D9"/>
              <w:left w:val="single" w:sz="4" w:color="D9D9D9"/>
              <w:bottom w:val="single" w:sz="4" w:color="D9D9D9"/>
              <w:right w:val="single" w:sz="4" w:color="D9D9D9"/>
            </w:tcBorders>
            <w:tcMar>
              <w:top w:w="90" w:type="dxa"/>
              <w:bottom w:w="90" w:type="dxa"/>
              <w:left w:w="90" w:type="dxa"/>
              <w:right w:w="90" w:type="dxa"/>
            </w:tcMar>
          </w:tcPr>
          <w:p>
            <w:pPr>
              <w:spacing w:after="60"/>
            </w:pPr>
            <w:r>
              <w:t>Datos auditoría o pendiente justificado</w:t>
            </w:r>
          </w:p>
        </w:tc>
      </w:tr>
      <w:tr>
        <w:trPr>
          <w:cantSplit/>
        </w:trPr>
        <w:tc>
          <w:tcPr>
            <w:tcW w:type="dxa" w:w="2232"/>
            <w:vAlign w:val="center"/>
            <w:tcBorders>
              <w:top w:val="single" w:sz="4" w:color="D9D9D9"/>
              <w:left w:val="single" w:sz="4" w:color="D9D9D9"/>
              <w:bottom w:val="single" w:sz="4" w:color="D9D9D9"/>
              <w:right w:val="single" w:sz="4" w:color="D9D9D9"/>
            </w:tcBorders>
            <w:tcMar>
              <w:top w:w="90" w:type="dxa"/>
              <w:bottom w:w="90" w:type="dxa"/>
              <w:left w:w="90" w:type="dxa"/>
              <w:right w:w="90" w:type="dxa"/>
            </w:tcMar>
          </w:tcPr>
          <w:p>
            <w:pPr>
              <w:spacing w:after="60"/>
            </w:pPr>
            <w:r>
              <w:t>Integración y exposición</w:t>
            </w:r>
          </w:p>
        </w:tc>
        <w:tc>
          <w:tcPr>
            <w:tcW w:type="dxa" w:w="3096"/>
            <w:vAlign w:val="center"/>
            <w:tcBorders>
              <w:top w:val="single" w:sz="4" w:color="D9D9D9"/>
              <w:left w:val="single" w:sz="4" w:color="D9D9D9"/>
              <w:bottom w:val="single" w:sz="4" w:color="D9D9D9"/>
              <w:right w:val="single" w:sz="4" w:color="D9D9D9"/>
            </w:tcBorders>
            <w:tcMar>
              <w:top w:w="90" w:type="dxa"/>
              <w:bottom w:w="90" w:type="dxa"/>
              <w:left w:w="90" w:type="dxa"/>
              <w:right w:w="90" w:type="dxa"/>
            </w:tcMar>
          </w:tcPr>
          <w:p>
            <w:pPr>
              <w:spacing w:after="60"/>
            </w:pPr>
            <w:r>
              <w:t>10 por ciento</w:t>
            </w:r>
          </w:p>
        </w:tc>
        <w:tc>
          <w:tcPr>
            <w:tcW w:type="dxa" w:w="4234"/>
            <w:vAlign w:val="center"/>
            <w:tcBorders>
              <w:top w:val="single" w:sz="4" w:color="D9D9D9"/>
              <w:left w:val="single" w:sz="4" w:color="D9D9D9"/>
              <w:bottom w:val="single" w:sz="4" w:color="D9D9D9"/>
              <w:right w:val="single" w:sz="4" w:color="D9D9D9"/>
            </w:tcBorders>
            <w:tcMar>
              <w:top w:w="90" w:type="dxa"/>
              <w:bottom w:w="90" w:type="dxa"/>
              <w:left w:w="90" w:type="dxa"/>
              <w:right w:w="90" w:type="dxa"/>
            </w:tcMar>
          </w:tcPr>
          <w:p>
            <w:pPr>
              <w:spacing w:after="60"/>
            </w:pPr>
            <w:r>
              <w:t>Relación con los otros cinco grupos</w:t>
            </w:r>
          </w:p>
        </w:tc>
      </w:tr>
    </w:tbl>
    <w:p/>
    <w:p>
      <w:r>
        <w:t>Los pesos son una propuesta para el responsable del seminario. No se califica como incumplimiento científico que una hipótesis resulte refutada; se evalúa el método y la honestidad de la conclusión. Tampoco se premia llamar escalabilidad a cualquier ejecución rápida sin contraste.</w:t>
      </w:r>
    </w:p>
    <w:p>
      <w:pPr>
        <w:pStyle w:val="Heading1"/>
      </w:pPr>
      <w:r>
        <w:t>Cierre y trabajo posterior</w:t>
      </w:r>
    </w:p>
    <w:p>
      <w:r>
        <w:t>El cierre reconoce la aplicación funcional y la evidencia local y asigna el próximo experimento integrado. Los niveles 1M, 2.5M, 5M, 7.5M y 10M conservan su lugar en la investigación, sujetos a recursos y protocolo aprobados. No se promete ejecutarlos todos durante la exposición ni se concluye H1 con el piloto S19.</w:t>
      </w:r>
    </w:p>
    <w:p>
      <w:r>
        <w:t>Fuentes rectoras: documentos originales de organización y caso de éxito de Fase 01; investigación DOC-01-02; presentación y guion DOC-06-02; entregas y evidencias S18 y S19. Los manuales históricos de instalación y recuperación permanecen como apoyo técnico, no como sustitutos del nuevo orden por grupos.</w:t>
      </w:r>
    </w:p>
    <w:sectPr w:rsidR="00FC693F" w:rsidRPr="0006063C" w:rsidSect="00034616">
      <w:footerReference w:type="default" r:id="rId9"/>
      <w:pgSz w:w="12240" w:h="15840"/>
      <w:pgMar w:top="1181" w:right="1325" w:bottom="1181" w:left="1325"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right"/>
    </w:pPr>
    <w:r>
      <w:rPr>
        <w:rFonts w:ascii="Times New Roman" w:hAnsi="Times New Roman"/>
        <w:color w:val="000000"/>
        <w:sz w:val="24"/>
      </w:rPr>
      <w:t xml:space="preserve">Seminario · </w:t>
    </w:r>
    <w:fldSimple w:instr="PAGE"/>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updateFields w:val="tru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widowControl/>
      <w:spacing w:after="120" w:line="259" w:lineRule="auto"/>
    </w:pPr>
    <w:rPr>
      <w:rFonts w:ascii="Times New Roman" w:hAnsi="Times New Roman" w:eastAsia="Times New Roman" w:cs="Times New Roman"/>
      <w:color w:val="000000"/>
      <w:sz w:val="24"/>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120"/>
      <w:outlineLvl w:val="0"/>
    </w:pPr>
    <w:rPr>
      <w:rFonts w:cstheme="majorBidi" w:ascii="Times New Roman" w:hAnsi="Times New Roman" w:eastAsia="Times New Roman" w:cs="Times New Roman"/>
      <w:b/>
      <w:bCs/>
      <w:color w:val="000000"/>
      <w:sz w:val="24"/>
      <w:szCs w:val="28"/>
    </w:rPr>
  </w:style>
  <w:style w:type="paragraph" w:styleId="Heading2">
    <w:name w:val="heading 2"/>
    <w:basedOn w:val="Normal"/>
    <w:next w:val="Normal"/>
    <w:link w:val="Heading2Char"/>
    <w:uiPriority w:val="9"/>
    <w:unhideWhenUsed/>
    <w:qFormat/>
    <w:rsid w:val="00FC693F"/>
    <w:pPr>
      <w:keepNext/>
      <w:keepLines/>
      <w:spacing w:before="200" w:after="120"/>
      <w:outlineLvl w:val="1"/>
    </w:pPr>
    <w:rPr>
      <w:rFonts w:cstheme="majorBidi" w:ascii="Times New Roman" w:hAnsi="Times New Roman" w:eastAsia="Times New Roman" w:cs="Times New Roman"/>
      <w:b/>
      <w:bCs/>
      <w:color w:val="000000"/>
      <w:sz w:val="24"/>
      <w:szCs w:val="26"/>
    </w:rPr>
  </w:style>
  <w:style w:type="paragraph" w:styleId="Heading3">
    <w:name w:val="heading 3"/>
    <w:basedOn w:val="Normal"/>
    <w:next w:val="Normal"/>
    <w:link w:val="Heading3Char"/>
    <w:uiPriority w:val="9"/>
    <w:unhideWhenUsed/>
    <w:qFormat/>
    <w:rsid w:val="00FC693F"/>
    <w:pPr>
      <w:keepNext/>
      <w:keepLines/>
      <w:spacing w:before="200" w:after="120"/>
      <w:outlineLvl w:val="2"/>
    </w:pPr>
    <w:rPr>
      <w:rFonts w:cstheme="majorBidi" w:ascii="Times New Roman" w:hAnsi="Times New Roman" w:eastAsia="Times New Roman" w:cs="Times New Roman"/>
      <w:b/>
      <w:bCs/>
      <w:color w:val="000000"/>
      <w:sz w:val="24"/>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spacing w:after="120" w:line="240" w:lineRule="auto"/>
      <w:contextualSpacing/>
    </w:pPr>
    <w:rPr>
      <w:rFonts w:cstheme="majorBidi" w:ascii="Times New Roman" w:hAnsi="Times New Roman" w:eastAsia="Times New Roman" w:cs="Times New Roman"/>
      <w:b/>
      <w:color w:val="000000"/>
      <w:spacing w:val="5"/>
      <w:kern w:val="28"/>
      <w:sz w:val="24"/>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spacing w:after="120"/>
    </w:pPr>
    <w:rPr>
      <w:rFonts w:cstheme="majorBidi" w:ascii="Times New Roman" w:hAnsi="Times New Roman" w:eastAsia="Times New Roman" w:cs="Times New Roman"/>
      <w:i/>
      <w:iCs/>
      <w:color w:val="000000"/>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after="120"/>
    </w:pPr>
    <w:rPr>
      <w:rFonts w:ascii="Times New Roman" w:hAnsi="Times New Roman" w:eastAsia="Times New Roman" w:cs="Times New Roman"/>
      <w:b/>
      <w:bCs/>
      <w:color w:val="000000"/>
      <w:sz w:val="24"/>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