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 de S04 acceso al laboratorio</w:t>
      </w:r>
    </w:p>
    <w:p>
      <w:r>
        <w:t>Validación de clave contra la API para RF01</w:t>
      </w:r>
    </w:p>
    <w:p>
      <w:pPr>
        <w:pStyle w:val="Heading1"/>
      </w:pPr>
      <w:r>
        <w:t>Índice</w:t>
      </w:r>
    </w:p>
    <w:p>
      <w:fldSimple w:instr="TOC \o &quot;1-2&quot; \h \z \u">
        <w:r>
          <w:t>Actualizar el índice en Word con F9.</w:t>
        </w:r>
      </w:fldSimple>
    </w:p>
    <w:p>
      <w:r>
        <w:br w:type="page"/>
      </w:r>
    </w:p>
    <w:p>
      <w:r>
        <w:t>Documento DOC-S04-01. Requisito RF01. Fecha 17 de octubre de 2026. Estado de entrega local para revisión. El usuario aprobó publicar S03 y autorizó iniciar S04 mediante «autorizado y sigue con S04». S03 fue publicado como e0ace99; S04 requiere aprobación independiente de su entrega antes de commit y push.</w:t>
      </w:r>
    </w:p>
    <w:p>
      <w:pPr>
        <w:pStyle w:val="Heading1"/>
      </w:pPr>
      <w:r>
        <w:t>Objetivo y alcance</w:t>
      </w:r>
    </w:p>
    <w:p>
      <w:r>
        <w:t>Se habilita la pantalla P01 con clave enmascarada y validación mediante GET /api/catalogo. La sesión solo se activa tras una respuesta 200 con contrato de catálogo válido, incluso sin eventos. Una clave inválida y un fallo técnico reciben mensajes distintos. El catálogo visible, la selección de eventos y las reservas corresponden a sprints posteriores.</w:t>
      </w:r>
    </w:p>
    <w:p>
      <w:pPr>
        <w:pStyle w:val="Heading1"/>
      </w:pPr>
      <w:r>
        <w:t>Análisis y casos de uso</w:t>
      </w:r>
    </w:p>
    <w:p>
      <w:r>
        <w:t>CU S04 01 Entrar. El participante recibe una clave del instructor, la introduce y pulsa Entrar. La aplicación la conserva temporalmente en memoria, vacía el campo y bloquea el formulario durante la validación. Si la API devuelve un catálogo válido, activa la sesión y muestra la confirmación del acceso. No se inventan eventos ni se crea una reserva.</w:t>
      </w:r>
    </w:p>
    <w:p>
      <w:r>
        <w:t>CU S04 02 Corregir la clave. Una respuesta 401 impide activar la sesión y muestra que la clave no es válida o ya no está habilitada. La aplicación limpia su credencial y vuelve a enfocar el campo. Un campo vacío se rechaza localmente sin petición HTTP.</w:t>
      </w:r>
    </w:p>
    <w:p>
      <w:r>
        <w:t>CU S04 03 Reintentar tras un fallo técnico. Red caída, timeout, 5xx, HTML o un contrato inesperado impiden el acceso y muestran que no se pudo comprobar. No se afirma que la clave sea incorrecta. La credencial se elimina y el usuario puede introducirla de nuevo; no hay reintento automático.</w:t>
      </w:r>
    </w:p>
    <w:p>
      <w:r>
        <w:t>CU S04 04 Volver o recargar. La confirmación ofrece Volver al acceso y elimina el contexto de credencial. Recargar también exige reingreso. pagehide aborta una validación en curso e impide que su respuesta tardía reactive la sesión. Esto no revoca la clave del servidor ni implementa todavía la salida con advertencia sobre reservas pendientes de S13.</w:t>
      </w:r>
    </w:p>
    <w:p>
      <w:pPr>
        <w:pStyle w:val="Heading1"/>
      </w:pPr>
      <w:r>
        <w:t>Diseño e implementación</w:t>
      </w:r>
    </w:p>
    <w:p>
      <w:r>
        <w:t>SessionContext distingue hasCredential de isAuthenticated. setCredential deja el acceso sin validar; confirmCredential solo se invoca después de que el cliente HTTP devuelve éxito validado y exista todavía una credencial. clearCredential restablece ambas condiciones. El almacén continúa aislado por proveedor y sin persistencia.</w:t>
      </w:r>
    </w:p>
    <w:p>
      <w:r>
        <w:t>useLaboratoryAccess coordina la validación con el cliente de S03, un AbortController por intento y una referencia que bloquea envíos duplicados antes de que React actualice la pantalla. Ignora resultados de intentos abortados o que ya no estén activos. Al desmontarse, cancela la espera. La limpieza al desmontar el proveedor sigue siendo responsabilidad de SessionContext.</w:t>
      </w:r>
    </w:p>
    <w:p>
      <w:r>
        <w:t>LaboratoryAccess contiene el campo password, instrucciones, error asociado, estado de espera y confirmación. La clave no se almacena como estado de un campo React controlado. El formulario se vacía antes de esperar; el acceso correcto retira el campo y mueve el foco al título. El error enfoca el campo y se anuncia mediante alert. La espera usa una región status. Estas medidas no sustituyen la revisión integral de accesibilidad prevista en S17.</w:t>
      </w:r>
    </w:p>
    <w:p>
      <w:r>
        <w:t>WelcomePage coloca el acceso junto a la introducción y conserva un recorrido informativo de futuras funciones. El panel temporal de S02 deja de mostrarse. La vista de confirmación informa que el catálogo se habilitará en la próxima entrega; no presenta un listado ficticio ni un total de eventos como si S05 estuviera implementado.</w:t>
      </w:r>
    </w:p>
    <w:p>
      <w:pPr>
        <w:pStyle w:val="Heading1"/>
      </w:pPr>
      <w:r>
        <w:t>Verificación ejecutada</w:t>
      </w:r>
    </w:p>
    <w:p>
      <w:r>
        <w:t>Se ejecutaron npm test, npm run build y npm run verify:secrets en Node 22.23.2 y npm 10.9.8. Chromium 145.0.7632.6 se ejecutó mediante Playwright 1.58.2. El servidor Vite existente se reinició para servir el código integrado y sigue publicado solo en localhost:5180.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744"/>
        <w:gridCol w:w="358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00000"/>
          </w:tcPr>
          <w:p>
            <w:pPr>
              <w:spacing w:after="80"/>
            </w:pPr>
            <w:r>
              <w:rPr>
                <w:b/>
                <w:color w:val="FFFFFF"/>
              </w:rPr>
              <w:t>Comprobación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00000"/>
          </w:tcPr>
          <w:p>
            <w:pPr>
              <w:spacing w:after="80"/>
            </w:pPr>
            <w:r>
              <w:rPr>
                <w:b/>
                <w:color w:val="FFFFFF"/>
              </w:rPr>
              <w:t>Resultado observado</w:t>
            </w:r>
          </w:p>
        </w:tc>
        <w:tc>
          <w:tcPr>
            <w:tcW w:type="dxa" w:w="35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00000"/>
          </w:tcPr>
          <w:p>
            <w:pPr>
              <w:spacing w:after="80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Tests Node de base y transporte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19 pruebas aprobadas</w:t>
            </w:r>
          </w:p>
        </w:tc>
        <w:tc>
          <w:tcPr>
            <w:tcW w:type="dxa" w:w="35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resultados.json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Tipos y compilación integrada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Aprobados</w:t>
            </w:r>
          </w:p>
        </w:tc>
        <w:tc>
          <w:tcPr>
            <w:tcW w:type="dxa" w:w="35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resultados.json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Controles de secretos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12 controles aprobados</w:t>
            </w:r>
          </w:p>
        </w:tc>
        <w:tc>
          <w:tcPr>
            <w:tcW w:type="dxa" w:w="35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secrets.json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Interfaz con respuestas controladas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32 comprobaciones aprobadas</w:t>
            </w:r>
          </w:p>
        </w:tc>
        <w:tc>
          <w:tcPr>
            <w:tcW w:type="dxa" w:w="35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access-controlled.json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Acceso contra API local real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8 comprobaciones aprobadas</w:t>
            </w:r>
          </w:p>
        </w:tc>
        <w:tc>
          <w:tcPr>
            <w:tcW w:type="dxa" w:w="35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t>access-real.json</w:t>
            </w:r>
          </w:p>
        </w:tc>
      </w:tr>
    </w:tbl>
    <w:p/>
    <w:p>
      <w:r>
        <w:t>PV01 se comprobó con clave válida contra la API local y, mediante respuestas controladas explícitas, con catálogo vacío y catálogo con eventos. PV02 se comprobó con clave inválida que recibió 401 real. Los ensayos controlados cubrieron también 503, HTML, contrato inválido, corte de red y el timeout predeterminado de 15 segundos; todos impidieron el acceso. Se verificaron dos submit simultáneos con una sola petición, ausencia de sesión antes de recibir respuesta, recarga, vuelta al acceso, respuesta tardía tras pagehide y presentación a 1280 y 360 píxeles.</w:t>
      </w:r>
    </w:p>
    <w:p>
      <w:r>
        <w:t>La prueba real obtuvo una clave de la configuración del contenedor de API en memoria y la transmitió por stdin al ejecutor, sin incluir el valor en argumentos, archivos ni evidencia. El navegador la envió por X-Api-Key a través del proxy del frontend. La prueba registró solo resultados y estados HTTP 401 y 200. El caso inválido usó un valor aleatorio distinto. Se comprobaron ausencia de credenciales en URL, registros, HTML y almacenamiento y ausencia de errores de ejecución del navegador.</w:t>
      </w:r>
    </w:p>
    <w:p>
      <w:pPr>
        <w:pStyle w:val="Heading1"/>
      </w:pPr>
      <w:r>
        <w:t>Límites y seguridad</w:t>
      </w:r>
    </w:p>
    <w:p>
      <w:r>
        <w:t>Solo se ejecutaron consultas GET /catalogo en la prueba real, sin modificar inventario ni crear reservas. Los casos de catálogo vacío y errores técnicos usaron interceptores, no cambios de base de datos. La autenticación efectiva sigue a cargo de la API; la bandera de sesión local no sustituye autorización del servidor. La clave solo se conserva en memoria y se elimina al fallar, volver, recargar o salir de la página. La eliminación de referencias no garantiza sobreescritura física de memoria ni controla extensiones o gestores de contraseñas externos.</w:t>
      </w:r>
    </w:p>
    <w:p>
      <w:r>
        <w:t>La prueba pagehide despacha el evento para verificar la protección ante respuestas tardías; no acredita todos los comportamientos de caché de navegación en otros navegadores. No se ejecutó la evaluación completa con lector de pantalla ni el despliegue de S18. Las fuentes y evidencias históricas de S01 a S03 conservan el alcance de sus entregas originales; sus scripts de pantallas anteriores no se presentan como prueba de la interfaz actual.</w:t>
      </w:r>
    </w:p>
    <w:p>
      <w:pPr>
        <w:pStyle w:val="Heading1"/>
      </w:pPr>
      <w:r>
        <w:t>Entregables y revisión</w:t>
      </w:r>
    </w:p>
    <w:p>
      <w:r>
        <w:t>Se entregan componentes de acceso, ampliación de SessionContext, guías, ensayo reproducible de navegador, evidencias sin claves, informe Markdown y Word y Mermaid editable S04-acceso-laboratorio.mmd. El Word usa Times New Roman 12, negro, encabezados de tabla negros con texto blanco e índice actualizable. La URL local para revisión es http://127.0.0.1:5180. La entrega queda pendiente de aprobación para commit y push a origin/master; S05 no está autorizado.</w:t>
      </w:r>
    </w:p>
    <w:p>
      <w:r>
        <w:br w:type="page"/>
      </w:r>
    </w:p>
    <w:p>
      <w:pPr>
        <w:pStyle w:val="Heading1"/>
      </w:pPr>
      <w:r>
        <w:t>Validación y activación de la sesión</w:t>
      </w:r>
    </w:p>
    <w:p>
      <w:r>
        <w:drawing>
          <wp:inline xmlns:a="http://schemas.openxmlformats.org/drawingml/2006/main" xmlns:pic="http://schemas.openxmlformats.org/drawingml/2006/picture">
            <wp:extent cx="5249071" cy="6766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-acceso-laborato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71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editable en diagramas/fase-10/sprints/S04-acceso-laboratorio.mmd. El catálogo visible corresponde a S05 y la salida completa a S13.</w:t>
      </w:r>
    </w:p>
    <w:sectPr w:rsidR="00FC693F" w:rsidRPr="0006063C" w:rsidSect="00034616">
      <w:footerReference w:type="default" r:id="rId10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S04 RF01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4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