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 S08 Creación idempotente de reservas</w:t>
      </w:r>
    </w:p>
    <w:p>
      <w:r>
        <w:t>Creación idempotente y bloqueo de doble envío para RF05</w:t>
      </w:r>
    </w:p>
    <w:p>
      <w:pPr>
        <w:pStyle w:val="Heading1"/>
      </w:pPr>
      <w:r>
        <w:t>Índice</w:t>
      </w:r>
    </w:p>
    <w:p>
      <w:fldSimple w:instr="TOC \o &quot;1-2&quot; \h \z \u">
        <w:r>
          <w:t>Actualizar el índice en Word con F9.</w:t>
        </w:r>
      </w:fldSimple>
    </w:p>
    <w:p>
      <w:r>
        <w:br w:type="page"/>
      </w:r>
    </w:p>
    <w:p>
      <w:r>
        <w:t>Documento DOC-S08-01. Fecha 19 de octubre de 2026. Requisito RF05. Estado en revisión local, sin commit ni push.</w:t>
      </w:r>
    </w:p>
    <w:p>
      <w:pPr>
        <w:pStyle w:val="Heading1"/>
      </w:pPr>
      <w:r>
        <w:t>Resultado y alcance</w:t>
      </w:r>
    </w:p>
    <w:p>
      <w:r>
        <w:t>S08 conecta la cantidad revisada con POST /reservas. El motor genera una clave por intención, congela evento y cantidad y guarda un registro pendiente en sessionStorage antes de enviar. Si no puede guardar y verificar ese registro, bloquea el envío. La credencial permanece en memoria; el registro contiene únicamente su huella SHA256, versión, evento, cantidad, clave de operación, fecha y estado.</w:t>
      </w:r>
    </w:p>
    <w:p>
      <w:r>
        <w:t>CreationProvider mantiene un motor por aplicación y pestaña, independiente del formulario. Un bloqueo síncrono evita que dos clics durante el cálculo asíncrono de la huella creen dos intenciones. Navegar o recargar no autoriza una nueva intención si existe un registro pendiente, incluso si está corrupto. El transporte envía X-Api-Key e Idempotency-Key en encabezados y solo event_id y quantity en el cuerpo.</w:t>
      </w:r>
    </w:p>
    <w:p>
      <w:pPr>
        <w:pStyle w:val="Heading1"/>
      </w:pPr>
      <w:r>
        <w:t>Comportamiento y límites</w:t>
      </w:r>
    </w:p>
    <w:p>
      <w:r>
        <w:t>Una confirmación válida muestra un estado básico de operación aceptada. El comprobante completo y la retirada del pendiente corresponden a S09. Los rechazos conocidos conservan el registro y bloquean una nueva intención de forma conservadora en esta entrega. Timeout, error de red, respuesta incompatible y fallo del servidor conservan la operación como incierta sin reintento automático. Si falla actualizar el estado incierto, permanece el registro original guardado antes del POST.</w:t>
      </w:r>
    </w:p>
    <w:p>
      <w:r>
        <w:t>No se implementa recuperación ni salida completa. S10 deberá reutilizar la clave y el payload originales; S13 completará la limpieza con advertencia. El bloqueo es por pestaña, no una coordinación global entre pestañas o dispositivos. Intenciones independientes con claves diferentes pueden crear reservas distintas. La idempotencia del servidor se aplica a la combinación de cliente y clave.</w:t>
      </w:r>
    </w:p>
    <w:p>
      <w:pPr>
        <w:pStyle w:val="Heading1"/>
      </w:pPr>
      <w:r>
        <w:t>Verificación local</w:t>
      </w:r>
    </w:p>
    <w:p>
      <w:r>
        <w:t>Se ejecutaron npm test, npm run build y npm run verify:secrets en Node 22 dentro de Docker. Pasaron las 34 pruebas Node, incluidos 12 casos nuevos del motor, la comprobación de tipos, la compilación y 12 controles de secretos. Los casos nuevos cubren doble clic antes de terminar la huella, payload inmutable, storage inaccesible o que pierde la escritura, registro existente o corrupto, cambio de identidad, entradas inválidas, timeout, interrupción y preservación del registro.</w:t>
      </w:r>
    </w:p>
    <w:p>
      <w:r>
        <w:t>El ensayo scripts/verify-creation.mjs con respuestas interceptadas aprobó 74 comprobaciones en Chromium. Verificó 201 y 200, bloqueo de doble envío, persistencia anterior al POST, encabezados, rechazo por cupos, fallos de storage, respuesta perdida, respuesta incompatible, error 503, navegación y recarga sin reenvío. Incluyó foco, ausencia de desbordamiento a 1280 y 360 píxeles y búsqueda de la credencial sintética en almacenamiento, página, URL y registros.</w:t>
      </w:r>
    </w:p>
    <w:p>
      <w:r>
        <w:t>El entorno real de prueba se define en frontend/testing/s08.compose.yaml. Usa PostgreSQL 18 exclusivo, capacidad inicial de 25 y API real de reservas; no inicia worker para poder contar outbox. Start-S08.ps1 prepara secretos aleatorios bajo .runtime/s08 excluido de Git. No debe ejecutarse el ensayo real contra la base habitual ni repetirse sin recrear su base efímera vacía.</w:t>
      </w:r>
    </w:p>
    <w:p>
      <w:r>
        <w:t>El ensayo real aprobó 30 comprobaciones. Veinte repeticiones concurrentes de la clave y payload originales devolvieron 200 con el mismo UUID. Cambiar la cantidad manteniendo la clave devolvió 409 idempotency_conflict. Se descartó una respuesta después de obtener confirmación real y la interfaz conservó el pendiente tras recarga sin reenviar. Con 21 cupos restantes, 40 solicitudes concurrentes con claves distintas produjeron 21 creaciones y 19 rechazos por agotamiento.</w:t>
      </w:r>
    </w:p>
    <w:p>
      <w:r>
        <w:t>La auditoría audit_s08.py comprobó directamente PostgreSQL: capacidad 25, disponibilidad cero, cantidad reservada 25, 23 reservas confirmadas y 23 registros outbox; cero reservas en estado pending y cero claves duplicadas por cliente. Las dos reservas de dos cupos y las 21 de un cupo explican los totales. PV06 y PV07 quedan verificados en este laboratorio exclusivo. La pérdida de respuesta se verifica solo como conservación y bloqueo; la recuperación explícita de PV08 sigue pendiente de S10.</w:t>
      </w:r>
    </w:p>
    <w:p>
      <w:pPr>
        <w:pStyle w:val="Heading1"/>
      </w:pPr>
      <w:r>
        <w:t>Reproducción y evidencia</w:t>
      </w:r>
    </w:p>
    <w:p>
      <w:r>
        <w:t>Ejecutar frontend/testing/Start-S08.ps1 inicia el laboratorio exclusivo en localhost:5181. Para el ensayo real, verify-creation.mjs --real recibe un JSON con credential por stdin, nunca por argumentos o archivos de evidencia. S08_BROWSER_URL y S08_EVIDENCE_DIR configuran el destino. El navegador del contenedor puede usar browser_loopback.py como puente HTTP local para disponer de Web Crypto en un origen loopback. Este puente es una herramienta de pruebas y no pertenece al despliegue propuesto en S18.</w:t>
      </w:r>
    </w:p>
    <w:p>
      <w:r>
        <w:t>Las evidencias están bajo evidencias/frontend-s08. Las pruebas con fixtures se identifican como intercepted-responses. Los fallos iniciales de infraestructura incluyeron falta de navegador en el contenedor Node y acceso al frontend mediante un alias sin contexto seguro; se resolvieron usando el contenedor documental con Chromium y el puente loopback. No acreditan fallos del backend ni éxito de pruebas de negocio.</w:t>
      </w:r>
    </w:p>
    <w:p>
      <w:pPr>
        <w:pStyle w:val="Heading1"/>
      </w:pPr>
      <w:r>
        <w:t>Revisión y publicación</w:t>
      </w:r>
    </w:p>
    <w:p>
      <w:r>
        <w:t>Se entregan motor, integración React, pruebas, entorno aislado, fuente Markdown, Word y Mermaid editable. El Word conserva Times New Roman 12, texto negro, encabezados de tabla negros con letra blanca e índice actualizable. Los ensayos locales no acreditan despliegue Kubernetes, OpenShift, alta disponibilidad ni capacidad máxima. No habilitar esta función a participantes hasta completar S10 y S13.</w:t>
      </w:r>
    </w:p>
    <w:p>
      <w:r>
        <w:t>La rama prevista es master y el destino documental registrado es origin/master. La entrega requiere aprobación expresa antes de commit y push, conforme a AGENTS.md. Los cambios preexistentes de otras fases quedan fuera de S08. No se autoriza el siguiente sprint mediante esta entrega.</w:t>
      </w:r>
    </w:p>
    <w:p>
      <w:pPr>
        <w:pStyle w:val="Heading1"/>
        <w:pageBreakBefore/>
      </w:pPr>
      <w:r>
        <w:t>Persistencia de intención y envío único</w:t>
      </w:r>
    </w:p>
    <w:p>
      <w:r>
        <w:drawing>
          <wp:inline xmlns:a="http://schemas.openxmlformats.org/drawingml/2006/main" xmlns:pic="http://schemas.openxmlformats.org/drawingml/2006/picture">
            <wp:extent cx="3156352" cy="6766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8-creacion-idempote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6352" cy="676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 editable en diagramas/fase-10/sprints/S08-creacion-idempotente.mmd. El pendiente se verifica antes del POST y bloquea nuevas intenciones.</w:t>
      </w:r>
    </w:p>
    <w:sectPr w:rsidR="00FC693F" w:rsidRPr="0006063C" w:rsidSect="00034616">
      <w:footerReference w:type="default" r:id="rId10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S08 RF05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4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