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la presentación del seminario Kubernetes OKD y OpenShift</w:t>
      </w:r>
    </w:p>
    <w:p>
      <w:r>
        <w:t>DOC-06-01 · Walter Rosales · 13 de octubre de 2026</w:t>
      </w:r>
    </w:p>
    <w:p>
      <w:r>
        <w:t>Este guion acompaña 20 diapositivas y explica conceptos, decisiones de arquitectura y resultados del piloto local. La validación Kubernetes y HPA permanece pendiente.</w:t>
      </w:r>
    </w:p>
    <w:p>
      <w:r>
        <w:br w:type="page"/>
      </w:r>
    </w:p>
    <w:p>
      <w:pPr>
        <w:pStyle w:val="Title"/>
      </w:pPr>
      <w:r>
        <w:t>Índice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>1 Kubernetes, OKD y OpenShift</w:t>
      </w:r>
    </w:p>
    <w:p>
      <w:r>
        <w:t>2 Objetivos del seminario</w:t>
      </w:r>
    </w:p>
    <w:p>
      <w:r>
        <w:t>3 Problema empresarial</w:t>
      </w:r>
    </w:p>
    <w:p>
      <w:r>
        <w:t>4 Modelo de Kubernetes</w:t>
      </w:r>
    </w:p>
    <w:p>
      <w:r>
        <w:t>5 Objetos fundamentales</w:t>
      </w:r>
    </w:p>
    <w:p>
      <w:r>
        <w:t>6 Kubernetes, OKD y OpenShift</w:t>
      </w:r>
    </w:p>
    <w:p>
      <w:r>
        <w:t>7 Criterios de elección</w:t>
      </w:r>
    </w:p>
    <w:p>
      <w:r>
        <w:t>8 Seguridad y operación</w:t>
      </w:r>
    </w:p>
    <w:p>
      <w:r>
        <w:t>9 Laboratorio propuesto</w:t>
      </w:r>
    </w:p>
    <w:p>
      <w:r>
        <w:t>10 Arquitectura de reservas</w:t>
      </w:r>
    </w:p>
    <w:p>
      <w:r>
        <w:t>11 Consistencia del inventario</w:t>
      </w:r>
    </w:p>
    <w:p>
      <w:r>
        <w:t>12 Procesamiento de eventos</w:t>
      </w:r>
    </w:p>
    <w:p>
      <w:r>
        <w:t>13 Verificación funcional</w:t>
      </w:r>
    </w:p>
    <w:p>
      <w:r>
        <w:t>14 Diseño del piloto de carga</w:t>
      </w:r>
    </w:p>
    <w:p>
      <w:r>
        <w:t>15 Latencia p95 de reservas</w:t>
      </w:r>
    </w:p>
    <w:p>
      <w:r>
        <w:t>16 Resultados e integridad</w:t>
      </w:r>
    </w:p>
    <w:p>
      <w:r>
        <w:t>17 Alcance de la evidencia</w:t>
      </w:r>
    </w:p>
    <w:p>
      <w:r>
        <w:t>18 Validación pendiente en Kubernetes</w:t>
      </w:r>
    </w:p>
    <w:p>
      <w:r>
        <w:t>19 Demostración y discusión</w:t>
      </w:r>
    </w:p>
    <w:p>
      <w:r>
        <w:t>20 Referencias y material de apoyo</w:t>
      </w:r>
      <w:r>
        <w:fldChar w:fldCharType="end"/>
      </w:r>
    </w:p>
    <w:p>
      <w:r>
        <w:br w:type="page"/>
      </w:r>
    </w:p>
    <w:p>
      <w:pPr>
        <w:pStyle w:val="Heading1"/>
      </w:pPr>
      <w:r>
        <w:t>1 Kubernetes, OKD y OpenShift</w:t>
      </w:r>
    </w:p>
    <w:p>
      <w:r>
        <w:t>Seminario · Walter Rosales</w:t>
      </w:r>
    </w:p>
    <w:p>
      <w:r>
        <w:t>Fundamentos, arquitectura y caso empresarial de reservas</w:t>
      </w:r>
    </w:p>
    <w:p>
      <w:r>
        <w:t>DOC-06-01 · 13 de octubre de 2026</w:t>
      </w:r>
    </w:p>
    <w:p>
      <w:r>
        <w:t>**Guion y fuentes:** Presentación de 35–45 minutos más demostración. Los datos medidos corresponden a un piloto local; el despliegue Kubernetes permanece pendiente.</w:t>
      </w:r>
    </w:p>
    <w:p>
      <w:pPr>
        <w:pStyle w:val="Heading1"/>
      </w:pPr>
      <w:r>
        <w:t>2 Objetivos del seminario</w:t>
      </w:r>
    </w:p>
    <w:p>
      <w:r>
        <w:t>Comprender el modelo declarativo y la reconciliación.</w:t>
      </w:r>
    </w:p>
    <w:p>
      <w:r>
        <w:t>Comparar Kubernetes, OKD y Red Hat OpenShift.</w:t>
      </w:r>
    </w:p>
    <w:p>
      <w:r>
        <w:t>Diseñar reservas concurrentes sin sobreventa.</w:t>
      </w:r>
    </w:p>
    <w:p>
      <w:r>
        <w:t>Interpretar evidencia de carga y sus límites.</w:t>
      </w:r>
    </w:p>
    <w:p>
      <w:r>
        <w:t>**Guion y fuentes:** Separar conceptos, diseño propuesto y pruebas realmente ejecutadas.</w:t>
      </w:r>
    </w:p>
    <w:p>
      <w:pPr>
        <w:pStyle w:val="Heading1"/>
      </w:pPr>
      <w:r>
        <w:t>3 Problema empresarial</w:t>
      </w:r>
    </w:p>
    <w:p>
      <w:r>
        <w:t>Una campaña concentra consultas y reservas en pocos minutos.</w:t>
      </w:r>
    </w:p>
    <w:p>
      <w:r>
        <w:t>Los reintentos pueden duplicar operaciones.</w:t>
      </w:r>
    </w:p>
    <w:p>
      <w:r>
        <w:t>El inventario debe conservar su integridad bajo concurrencia.</w:t>
      </w:r>
    </w:p>
    <w:p>
      <w:r>
        <w:t>La operación requiere métricas, recuperación y trazabilidad.</w:t>
      </w:r>
    </w:p>
    <w:p>
      <w:r>
        <w:t>**Guion y fuentes:** Caso didáctico de venta de cupos. No se atribuye a una empresa real.</w:t>
      </w:r>
    </w:p>
    <w:p>
      <w:pPr>
        <w:pStyle w:val="Heading1"/>
      </w:pPr>
      <w:r>
        <w:t>4 Modelo de Kubernetes</w:t>
      </w:r>
    </w:p>
    <w:p>
      <w:r>
        <w:t>El usuario declara el estado deseado mediante la API.</w:t>
      </w:r>
    </w:p>
    <w:p>
      <w:r>
        <w:t>Los controladores comparan ese estado con el observado.</w:t>
      </w:r>
    </w:p>
    <w:p>
      <w:r>
        <w:t>El planificador asigna Pods a nodos disponibles.</w:t>
      </w:r>
    </w:p>
    <w:p>
      <w:r>
        <w:t>El kubelet mantiene los contenedores en cada nodo.</w:t>
      </w:r>
    </w:p>
    <w:p>
      <w:r>
        <w:t>**Guion y fuentes:** Reconciliación continua: declarar tres réplicas no garantiza disponibilidad si faltan recursos.</w:t>
      </w:r>
    </w:p>
    <w:p>
      <w:r/>
      <w:hyperlink r:id="rId10">
        <w:r>
          <w:rPr>
            <w:rFonts w:ascii="Times New Roman" w:hAnsi="Times New Roman"/>
            <w:color w:val="000000"/>
            <w:sz w:val="24"/>
          </w:rPr>
          <w:t>https://kubernetes.io/docs/concepts/overview/</w:t>
        </w:r>
      </w:hyperlink>
      <w:r/>
    </w:p>
    <w:p>
      <w:r/>
      <w:hyperlink r:id="rId11">
        <w:r>
          <w:rPr>
            <w:rFonts w:ascii="Times New Roman" w:hAnsi="Times New Roman"/>
            <w:color w:val="000000"/>
            <w:sz w:val="24"/>
          </w:rPr>
          <w:t>https://okd.io/</w:t>
        </w:r>
      </w:hyperlink>
      <w:r/>
    </w:p>
    <w:p>
      <w:r/>
      <w:hyperlink r:id="rId12">
        <w:r>
          <w:rPr>
            <w:rFonts w:ascii="Times New Roman" w:hAnsi="Times New Roman"/>
            <w:color w:val="000000"/>
            <w:sz w:val="24"/>
          </w:rPr>
          <w:t>https://docs.redhat.com/en/documentation/openshift_container_platform/</w:t>
        </w:r>
      </w:hyperlink>
      <w:r/>
    </w:p>
    <w:p>
      <w:pPr>
        <w:pStyle w:val="Heading1"/>
      </w:pPr>
      <w:r>
        <w:t>5 Objetos fundamentales</w:t>
      </w:r>
    </w:p>
    <w:p>
      <w:r>
        <w:t>Pod: unidad de ejecución y programación.</w:t>
      </w:r>
    </w:p>
    <w:p>
      <w:r>
        <w:t>Deployment: réplicas y actualización de aplicaciones.</w:t>
      </w:r>
    </w:p>
    <w:p>
      <w:r>
        <w:t>Service: acceso estable a un conjunto de Pods.</w:t>
      </w:r>
    </w:p>
    <w:p>
      <w:r>
        <w:t>ConfigMap y Secret: configuración y datos sensibles.</w:t>
      </w:r>
    </w:p>
    <w:p>
      <w:r>
        <w:t>PVC: solicitud de almacenamiento persistente.</w:t>
      </w:r>
    </w:p>
    <w:p>
      <w:r>
        <w:t>**Guion y fuentes:** Un Pod es reemplazable. La persistencia depende del almacenamiento y sus políticas. Un Secret necesita controles de acceso y protección adicional.</w:t>
      </w:r>
    </w:p>
    <w:p>
      <w:r/>
      <w:hyperlink r:id="rId10">
        <w:r>
          <w:rPr>
            <w:rFonts w:ascii="Times New Roman" w:hAnsi="Times New Roman"/>
            <w:color w:val="000000"/>
            <w:sz w:val="24"/>
          </w:rPr>
          <w:t>https://kubernetes.io/docs/concepts/overview/</w:t>
        </w:r>
      </w:hyperlink>
      <w:r/>
    </w:p>
    <w:p>
      <w:r/>
      <w:hyperlink r:id="rId11">
        <w:r>
          <w:rPr>
            <w:rFonts w:ascii="Times New Roman" w:hAnsi="Times New Roman"/>
            <w:color w:val="000000"/>
            <w:sz w:val="24"/>
          </w:rPr>
          <w:t>https://okd.io/</w:t>
        </w:r>
      </w:hyperlink>
      <w:r/>
    </w:p>
    <w:p>
      <w:r/>
      <w:hyperlink r:id="rId12">
        <w:r>
          <w:rPr>
            <w:rFonts w:ascii="Times New Roman" w:hAnsi="Times New Roman"/>
            <w:color w:val="000000"/>
            <w:sz w:val="24"/>
          </w:rPr>
          <w:t>https://docs.redhat.com/en/documentation/openshift_container_platform/</w:t>
        </w:r>
      </w:hyperlink>
      <w:r/>
    </w:p>
    <w:p>
      <w:pPr>
        <w:pStyle w:val="Heading1"/>
      </w:pPr>
      <w:r>
        <w:t>6 Kubernetes, OKD y OpenShift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Kubernetes</w:t>
            </w:r>
          </w:p>
        </w:tc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OKD</w:t>
            </w:r>
          </w:p>
        </w:tc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OpenShift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Naturaleza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Orquestador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Distribución comunitaria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Plataforma empresarial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Integración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A elección del equipo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Componentes integrados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Componentes integrados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Soporte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Comunidad o proveedor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Comunidad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Red Hat por suscripción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Operación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Diseño propio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Requiere especialización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Requiere especialización</w:t>
            </w:r>
          </w:p>
        </w:tc>
      </w:tr>
    </w:tbl>
    <w:p>
      <w:r>
        <w:t>**Guion y fuentes:** Kubernetes es la base de orquestación. OKD ofrece una distribución comunitaria. OpenShift agrega integración empresarial y soporte comercial según suscripción; evaluar compatibilidad por versión.</w:t>
      </w:r>
    </w:p>
    <w:p>
      <w:r/>
      <w:hyperlink r:id="rId10">
        <w:r>
          <w:rPr>
            <w:rFonts w:ascii="Times New Roman" w:hAnsi="Times New Roman"/>
            <w:color w:val="000000"/>
            <w:sz w:val="24"/>
          </w:rPr>
          <w:t>https://kubernetes.io/docs/concepts/overview/</w:t>
        </w:r>
      </w:hyperlink>
      <w:r/>
    </w:p>
    <w:p>
      <w:r/>
      <w:hyperlink r:id="rId11">
        <w:r>
          <w:rPr>
            <w:rFonts w:ascii="Times New Roman" w:hAnsi="Times New Roman"/>
            <w:color w:val="000000"/>
            <w:sz w:val="24"/>
          </w:rPr>
          <w:t>https://okd.io/</w:t>
        </w:r>
      </w:hyperlink>
      <w:r/>
    </w:p>
    <w:p>
      <w:r/>
      <w:hyperlink r:id="rId12">
        <w:r>
          <w:rPr>
            <w:rFonts w:ascii="Times New Roman" w:hAnsi="Times New Roman"/>
            <w:color w:val="000000"/>
            <w:sz w:val="24"/>
          </w:rPr>
          <w:t>https://docs.redhat.com/en/documentation/openshift_container_platform/</w:t>
        </w:r>
      </w:hyperlink>
      <w:r/>
    </w:p>
    <w:p>
      <w:pPr>
        <w:pStyle w:val="Heading1"/>
      </w:pPr>
      <w:r>
        <w:t>7 Criterios de elección</w:t>
      </w:r>
    </w:p>
    <w:p>
      <w:r>
        <w:t>Kubernetes: control de componentes y capacidad operativa propia.</w:t>
      </w:r>
    </w:p>
    <w:p>
      <w:r>
        <w:t>OKD: aprendizaje e integración comunitaria sin soporte comercial de Red Hat.</w:t>
      </w:r>
    </w:p>
    <w:p>
      <w:r>
        <w:t>OpenShift: plataforma integrada y necesidad de soporte empresarial.</w:t>
      </w:r>
    </w:p>
    <w:p>
      <w:r>
        <w:t>La decisión incluye personal, ciclo de vida, compatibilidad y costo total.</w:t>
      </w:r>
    </w:p>
    <w:p>
      <w:r>
        <w:t>**Guion y fuentes:** No reducir la evaluación al precio de una licencia. Validar arquitectura y requisitos de la edición elegida. Fuentes y discusión ampliada en DOC-01-01.</w:t>
      </w:r>
    </w:p>
    <w:p>
      <w:r/>
      <w:hyperlink r:id="rId10">
        <w:r>
          <w:rPr>
            <w:rFonts w:ascii="Times New Roman" w:hAnsi="Times New Roman"/>
            <w:color w:val="000000"/>
            <w:sz w:val="24"/>
          </w:rPr>
          <w:t>https://kubernetes.io/docs/concepts/overview/</w:t>
        </w:r>
      </w:hyperlink>
      <w:r/>
    </w:p>
    <w:p>
      <w:r/>
      <w:hyperlink r:id="rId11">
        <w:r>
          <w:rPr>
            <w:rFonts w:ascii="Times New Roman" w:hAnsi="Times New Roman"/>
            <w:color w:val="000000"/>
            <w:sz w:val="24"/>
          </w:rPr>
          <w:t>https://okd.io/</w:t>
        </w:r>
      </w:hyperlink>
      <w:r/>
    </w:p>
    <w:p>
      <w:r/>
      <w:hyperlink r:id="rId12">
        <w:r>
          <w:rPr>
            <w:rFonts w:ascii="Times New Roman" w:hAnsi="Times New Roman"/>
            <w:color w:val="000000"/>
            <w:sz w:val="24"/>
          </w:rPr>
          <w:t>https://docs.redhat.com/en/documentation/openshift_container_platform/</w:t>
        </w:r>
      </w:hyperlink>
      <w:r/>
    </w:p>
    <w:p>
      <w:pPr>
        <w:pStyle w:val="Heading1"/>
      </w:pPr>
      <w:r>
        <w:t>8 Seguridad y operación</w:t>
      </w:r>
    </w:p>
    <w:p>
      <w:r>
        <w:t>RBAC y separación de espacios de nombres.</w:t>
      </w:r>
    </w:p>
    <w:p>
      <w:r>
        <w:t>Contenedores sin privilegios y secretos fuera del repositorio.</w:t>
      </w:r>
    </w:p>
    <w:p>
      <w:r>
        <w:t>Políticas de red, TLS y control de imágenes.</w:t>
      </w:r>
    </w:p>
    <w:p>
      <w:r>
        <w:t>Copias de seguridad, restauración y actualizaciones verificadas.</w:t>
      </w:r>
    </w:p>
    <w:p>
      <w:r>
        <w:t>**Guion y fuentes:** Estos controles son objetivos de operación. El piloto local no acredita su implantación completa.</w:t>
      </w:r>
    </w:p>
    <w:p>
      <w:r/>
      <w:hyperlink r:id="rId10">
        <w:r>
          <w:rPr>
            <w:rFonts w:ascii="Times New Roman" w:hAnsi="Times New Roman"/>
            <w:color w:val="000000"/>
            <w:sz w:val="24"/>
          </w:rPr>
          <w:t>https://kubernetes.io/docs/concepts/overview/</w:t>
        </w:r>
      </w:hyperlink>
      <w:r/>
    </w:p>
    <w:p>
      <w:r/>
      <w:hyperlink r:id="rId11">
        <w:r>
          <w:rPr>
            <w:rFonts w:ascii="Times New Roman" w:hAnsi="Times New Roman"/>
            <w:color w:val="000000"/>
            <w:sz w:val="24"/>
          </w:rPr>
          <w:t>https://okd.io/</w:t>
        </w:r>
      </w:hyperlink>
      <w:r/>
    </w:p>
    <w:p>
      <w:r/>
      <w:hyperlink r:id="rId12">
        <w:r>
          <w:rPr>
            <w:rFonts w:ascii="Times New Roman" w:hAnsi="Times New Roman"/>
            <w:color w:val="000000"/>
            <w:sz w:val="24"/>
          </w:rPr>
          <w:t>https://docs.redhat.com/en/documentation/openshift_container_platform/</w:t>
        </w:r>
      </w:hyperlink>
      <w:r/>
    </w:p>
    <w:p>
      <w:pPr>
        <w:pStyle w:val="Heading1"/>
      </w:pPr>
      <w:r>
        <w:t>9 Laboratorio propuesto</w:t>
      </w:r>
    </w:p>
    <w:p>
      <w:r>
        <w:t>Laptop recomendada: 32 GB RAM y SSD con 100 GB libres.</w:t>
      </w:r>
    </w:p>
    <w:p>
      <w:r>
        <w:t>Ruta reducida de 16 GB: menor cantidad de nodos y carga.</w:t>
      </w:r>
    </w:p>
    <w:p>
      <w:r>
        <w:t>Ruta de cinco equipos: tres anfitriones, datos y generador.</w:t>
      </w:r>
    </w:p>
    <w:p>
      <w:r>
        <w:t>Inventario real y capacidad de virtualización por confirmar.</w:t>
      </w:r>
    </w:p>
    <w:p>
      <w:r>
        <w:t>**Guion y fuentes:** Valores de diseño de DOC-02-01. No son un inventario verificado del equipo del usuario.</w:t>
      </w:r>
    </w:p>
    <w:p>
      <w:pPr>
        <w:pStyle w:val="Heading1"/>
      </w:pPr>
      <w:r>
        <w:t>10 Arquitectura de reservas</w:t>
      </w:r>
    </w:p>
    <w:p>
      <w:r>
        <w:t>Clientes acceden a la API. La API consulta y modifica PostgreSQL. El procesador consume el outbox y registra recepciones simuladas en la misma base.</w:t>
      </w:r>
    </w:p>
    <w:p>
      <w:r>
        <w:t>**Guion y fuentes:** API FastAPI, PostgreSQL y procesador outbox. El receptor de notificaciones es simulado dentro de la base de datos. En el piloto los procesos comparten el mismo anfitrión.</w:t>
      </w:r>
    </w:p>
    <w:p>
      <w:pPr>
        <w:pStyle w:val="Heading1"/>
      </w:pPr>
      <w:r>
        <w:t>11 Consistencia del inventario</w:t>
      </w:r>
    </w:p>
    <w:p>
      <w:r>
        <w:t>Descuento condicional solo si existe cantidad suficiente.</w:t>
      </w:r>
    </w:p>
    <w:p>
      <w:r>
        <w:t>Reserva, inventario y evento outbox en una transacción.</w:t>
      </w:r>
    </w:p>
    <w:p>
      <w:r>
        <w:t>Una clave de idempotencia identifica cada operación del cliente.</w:t>
      </w:r>
    </w:p>
    <w:p>
      <w:r>
        <w:t>Misma clave y mismo contenido: respuesta original; contenido distinto: conflicto.</w:t>
      </w:r>
    </w:p>
    <w:p>
      <w:r>
        <w:t>**Guion y fuentes:** El control de inventario reside en PostgreSQL. Agregar réplicas de API no sustituye la transacción ni elimina cuellos de botella de datos.</w:t>
      </w:r>
    </w:p>
    <w:p>
      <w:pPr>
        <w:pStyle w:val="Heading1"/>
      </w:pPr>
      <w:r>
        <w:t>12 Procesamiento de eventos</w:t>
      </w:r>
    </w:p>
    <w:p>
      <w:r>
        <w:t>El procesador toma lotes con SKIP LOCKED.</w:t>
      </w:r>
    </w:p>
    <w:p>
      <w:r>
        <w:t>Una recepción única por evento evita duplicados en la simulación.</w:t>
      </w:r>
    </w:p>
    <w:p>
      <w:r>
        <w:t>La recepción y el marcado se confirman en una transacción.</w:t>
      </w:r>
    </w:p>
    <w:p>
      <w:r>
        <w:t>Un receptor externo necesitaría su propia estrategia de idempotencia.</w:t>
      </w:r>
    </w:p>
    <w:p>
      <w:r>
        <w:t>**Guion y fuentes:** No afirmar entrega exactamente una vez a sistemas externos: el laboratorio utiliza un receptor simulado en PostgreSQL.</w:t>
      </w:r>
    </w:p>
    <w:p>
      <w:pPr>
        <w:pStyle w:val="Heading1"/>
      </w:pPr>
      <w:r>
        <w:t>13 Verificación funcional</w:t>
      </w:r>
    </w:p>
    <w:p>
      <w:r>
        <w:t>19 pruebas de la aplicación completadas.</w:t>
      </w:r>
    </w:p>
    <w:p>
      <w:r>
        <w:t>80 solicitudes concurrentes sobre 25 unidades: 25 confirmadas.</w:t>
      </w:r>
    </w:p>
    <w:p>
      <w:r>
        <w:t>40 reintentos con una misma clave: una creación y 39 respuestas repetidas.</w:t>
      </w:r>
    </w:p>
    <w:p>
      <w:r>
        <w:t>Validación de permisos, rollback, conflictos y procesamiento outbox.</w:t>
      </w:r>
    </w:p>
    <w:p>
      <w:r>
        <w:t>**Guion y fuentes:** Evidencia DOC-04-01. Son pruebas controladas de aplicación con PostgreSQL real; no una certificación de disponibilidad de un clúster.</w:t>
      </w:r>
    </w:p>
    <w:p>
      <w:pPr>
        <w:pStyle w:val="Heading1"/>
      </w:pPr>
      <w:r>
        <w:t>14 Diseño del piloto de carga</w:t>
      </w:r>
    </w:p>
    <w:p>
      <w:r>
        <w:t>Tres repeticiones de 30 segundos a 50 llegadas/s.</w:t>
      </w:r>
    </w:p>
    <w:p>
      <w:r>
        <w:t>Mezcla: 80 % catálogo, 15 % disponibilidad y 5 % reservas.</w:t>
      </w:r>
    </w:p>
    <w:p>
      <w:r>
        <w:t>Un ensayo de lectura de 40 segundos con objetivos de 25 a 100 llegadas/s.</w:t>
      </w:r>
    </w:p>
    <w:p>
      <w:r>
        <w:t>API, PostgreSQL, procesador y k6 en el mismo equipo.</w:t>
      </w:r>
    </w:p>
    <w:p>
      <w:r>
        <w:t>**Guion y fuentes:** k6 2.3.0, PostgreSQL 18.3, HTTP localhost. Veinte lecturas de calentamiento excluidas. Cada ensayo inicia con 1.000 unidades en un esquema independiente. Fuente DOC-05-01 y evidencias/carga-piloto.</w:t>
      </w:r>
    </w:p>
    <w:p>
      <w:pPr>
        <w:pStyle w:val="Heading1"/>
      </w:pPr>
      <w:r>
        <w:t>15 Latencia p95 de reservas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Ensayo</w:t>
            </w:r>
          </w:p>
        </w:tc>
        <w:tc>
          <w:tcPr>
            <w:tcW w:type="dxa" w:w="4706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p95 de reservas ms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line="240" w:lineRule="auto" w:after="80" w:before="80"/>
            </w:pPr>
            <w:r>
              <w:t>Mixto 1</w:t>
            </w:r>
          </w:p>
        </w:tc>
        <w:tc>
          <w:tcPr>
            <w:tcW w:type="dxa" w:w="4706"/>
          </w:tcPr>
          <w:p>
            <w:pPr>
              <w:spacing w:line="240" w:lineRule="auto" w:after="80" w:before="80"/>
            </w:pPr>
            <w:r>
              <w:t>34.92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line="240" w:lineRule="auto" w:after="80" w:before="80"/>
            </w:pPr>
            <w:r>
              <w:t>Mixto 2</w:t>
            </w:r>
          </w:p>
        </w:tc>
        <w:tc>
          <w:tcPr>
            <w:tcW w:type="dxa" w:w="4706"/>
          </w:tcPr>
          <w:p>
            <w:pPr>
              <w:spacing w:line="240" w:lineRule="auto" w:after="80" w:before="80"/>
            </w:pPr>
            <w:r>
              <w:t>29.54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line="240" w:lineRule="auto" w:after="80" w:before="80"/>
            </w:pPr>
            <w:r>
              <w:t>Mixto 3</w:t>
            </w:r>
          </w:p>
        </w:tc>
        <w:tc>
          <w:tcPr>
            <w:tcW w:type="dxa" w:w="4706"/>
          </w:tcPr>
          <w:p>
            <w:pPr>
              <w:spacing w:line="240" w:lineRule="auto" w:after="80" w:before="80"/>
            </w:pPr>
            <w:r>
              <w:t>42.41</w:t>
            </w:r>
          </w:p>
        </w:tc>
      </w:tr>
    </w:tbl>
    <w:p>
      <w:r>
        <w:t>Piloto local de 50 llegadas por segundo y 30 segundos por repetición.</w:t>
      </w:r>
    </w:p>
    <w:p>
      <w:r>
        <w:t>**Guion y fuentes:** Valores por ensayo; no promediar percentiles como si fueran un percentil global. HTTP local, sin TLS, sin Kubernetes. Fuente DOC-05-01 y resultados JSON.</w:t>
      </w:r>
    </w:p>
    <w:p>
      <w:pPr>
        <w:pStyle w:val="Heading1"/>
      </w:pPr>
      <w:r>
        <w:t>16 Resultados e integridad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Ensayo</w:t>
            </w:r>
          </w:p>
        </w:tc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Solicitudes</w:t>
            </w:r>
          </w:p>
        </w:tc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Reservas</w:t>
            </w:r>
          </w:p>
        </w:tc>
        <w:tc>
          <w:tcPr>
            <w:tcW w:type="dxa" w:w="2353"/>
            <w:shd w:fill="000000"/>
          </w:tcPr>
          <w:p>
            <w:pPr>
              <w:spacing w:line="240" w:lineRule="auto" w:after="80" w:before="80"/>
            </w:pPr>
            <w:r>
              <w:rPr>
                <w:b/>
                <w:color w:val="FFFFFF"/>
              </w:rPr>
              <w:t>Disponible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Mixto 1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1500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75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925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Mixto 2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1501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75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925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Mixto 3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1500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75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925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Lectura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2749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0</w:t>
            </w:r>
          </w:p>
        </w:tc>
        <w:tc>
          <w:tcPr>
            <w:tcW w:type="dxa" w:w="2353"/>
          </w:tcPr>
          <w:p>
            <w:pPr>
              <w:spacing w:line="240" w:lineRule="auto" w:after="80" w:before="80"/>
            </w:pPr>
            <w:r>
              <w:t>1000</w:t>
            </w:r>
          </w:p>
        </w:tc>
      </w:tr>
    </w:tbl>
    <w:p>
      <w:r>
        <w:t>**Guion y fuentes:** Los tres ensayos mixtos confirmaron 75 reservas cada uno y dejaron 925 unidades. El piloto de lectura dejó 1.000 unidades. No sumar inventarios de esquemas independientes.</w:t>
      </w:r>
    </w:p>
    <w:p>
      <w:pPr>
        <w:pStyle w:val="Heading1"/>
      </w:pPr>
      <w:r>
        <w:t>17 Alcance de la evidencia</w:t>
      </w:r>
    </w:p>
    <w:p>
      <w:r>
        <w:t>7.250 solicitudes y 225 reservas en cuatro ensayos.</w:t>
      </w:r>
    </w:p>
    <w:p>
      <w:r>
        <w:t>Cero fallos técnicos y cero iteraciones descartadas.</w:t>
      </w:r>
    </w:p>
    <w:p>
      <w:r>
        <w:t>Sin sobreventa y sin eventos pendientes al cierre de los ensayos.</w:t>
      </w:r>
    </w:p>
    <w:p>
      <w:r>
        <w:t>Capacidad máxima, p99 y alta disponibilidad aún sin demostrar.</w:t>
      </w:r>
    </w:p>
    <w:p>
      <w:r>
        <w:t>**Guion y fuentes:** Los valores describen estas ventanas de medición. No extrapolar a producción ni a una campaña prolongada.</w:t>
      </w:r>
    </w:p>
    <w:p>
      <w:pPr>
        <w:pStyle w:val="Heading1"/>
      </w:pPr>
      <w:r>
        <w:t>18 Validación pendiente en Kubernetes</w:t>
      </w:r>
    </w:p>
    <w:p>
      <w:r>
        <w:t>Habilitar el acceso al motor Docker y crear kind.</w:t>
      </w:r>
    </w:p>
    <w:p>
      <w:r>
        <w:t>Construir la imagen, desplegar y comprobar sondas y persistencia.</w:t>
      </w:r>
    </w:p>
    <w:p>
      <w:r>
        <w:t>Instalar métricas y observar el HPA propuesto: 2–6 réplicas, CPU 60 %.</w:t>
      </w:r>
    </w:p>
    <w:p>
      <w:r>
        <w:t>Repetir carga con generador separado, TLS y pruebas de recuperación.</w:t>
      </w:r>
    </w:p>
    <w:p>
      <w:r>
        <w:t>**Guion y fuentes:** Docker fue inaccesible desde el entorno de trabajo. Manifiestos y scripts están preparados, pero no ejecutados en un clúster. La base de datos propuesta es de una instancia y no ofrece HA.</w:t>
      </w:r>
    </w:p>
    <w:p>
      <w:pPr>
        <w:pStyle w:val="Heading1"/>
      </w:pPr>
      <w:r>
        <w:t>19 Demostración y discusión</w:t>
      </w:r>
    </w:p>
    <w:p>
      <w:r>
        <w:t>Consultar catálogo y disponibilidad.</w:t>
      </w:r>
    </w:p>
    <w:p>
      <w:r>
        <w:t>Crear una reserva y repetir su clave de idempotencia.</w:t>
      </w:r>
    </w:p>
    <w:p>
      <w:r>
        <w:t>Mostrar inventario, métricas y procesamiento del evento.</w:t>
      </w:r>
    </w:p>
    <w:p>
      <w:r>
        <w:t>Relacionar resultados con objetivos y próximos experimentos.</w:t>
      </w:r>
    </w:p>
    <w:p>
      <w:r>
        <w:t>**Guion y fuentes:** Usar el procedimiento DOC-04-01 y DOC-05-01. Si no existe un entorno activo, presentar evidencia guardada y señalar que se trata de una demostración documental. No mostrar claves ni credenciales.</w:t>
      </w:r>
    </w:p>
    <w:p>
      <w:pPr>
        <w:pStyle w:val="Heading1"/>
      </w:pPr>
      <w:r>
        <w:t>20 Referencias y material de apoyo</w:t>
      </w:r>
    </w:p>
    <w:p>
      <w:r>
        <w:t>Kubernetes: documentación oficial de conceptos.</w:t>
      </w:r>
    </w:p>
    <w:p>
      <w:r>
        <w:t>OKD: sitio y documentación de la distribución comunitaria.</w:t>
      </w:r>
    </w:p>
    <w:p>
      <w:r>
        <w:t>Red Hat: documentación oficial de OpenShift.</w:t>
      </w:r>
    </w:p>
    <w:p>
      <w:r>
        <w:t>DOC-01-01 a DOC-05-01 y evidencias del repositorio local.</w:t>
      </w:r>
    </w:p>
    <w:p>
      <w:r>
        <w:t>**Guion y fuentes:** Fuentes oficiales:</w:t>
      </w:r>
    </w:p>
    <w:p>
      <w:r/>
      <w:hyperlink r:id="rId10">
        <w:r>
          <w:rPr>
            <w:rFonts w:ascii="Times New Roman" w:hAnsi="Times New Roman"/>
            <w:color w:val="000000"/>
            <w:sz w:val="24"/>
          </w:rPr>
          <w:t>https://kubernetes.io/docs/concepts/overview/</w:t>
        </w:r>
      </w:hyperlink>
      <w:r/>
    </w:p>
    <w:p>
      <w:r/>
      <w:hyperlink r:id="rId11">
        <w:r>
          <w:rPr>
            <w:rFonts w:ascii="Times New Roman" w:hAnsi="Times New Roman"/>
            <w:color w:val="000000"/>
            <w:sz w:val="24"/>
          </w:rPr>
          <w:t>https://okd.io/</w:t>
        </w:r>
      </w:hyperlink>
      <w:r/>
    </w:p>
    <w:p>
      <w:r/>
      <w:hyperlink r:id="rId12">
        <w:r>
          <w:rPr>
            <w:rFonts w:ascii="Times New Roman" w:hAnsi="Times New Roman"/>
            <w:color w:val="000000"/>
            <w:sz w:val="24"/>
          </w:rPr>
          <w:t>https://docs.redhat.com/en/documentation/openshift_container_platform/</w:t>
        </w:r>
      </w:hyperlink>
      <w:r/>
    </w:p>
    <w:p>
      <w:r/>
      <w:hyperlink r:id="rId13">
        <w:r>
          <w:rPr>
            <w:rFonts w:ascii="Times New Roman" w:hAnsi="Times New Roman"/>
            <w:color w:val="000000"/>
            <w:sz w:val="24"/>
          </w:rPr>
          <w:t>https://grafana.com/docs/k6/latest/</w:t>
        </w:r>
      </w:hyperlink>
      <w:r/>
    </w:p>
    <w:p>
      <w:r>
        <w:t>Fuentes primarias y enlaces específicos adicionales en DOC-01-01. Datos experimentales: evidencias/carga-piloto, DOC-04-01-resultados.md.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  <w:rFonts w:ascii="Times New Roman" w:hAnsi="Times New Roman"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  <w:rFonts w:ascii="Times New Roman" w:hAnsi="Times New Roman" w:eastAsia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rFonts w:ascii="Times New Roman" w:hAnsi="Times New Roman" w:eastAsia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  <w:rFonts w:ascii="Times New Roman" w:hAnsi="Times New Roman" w:eastAsia="Times New Roman" w:cs="Times New Roma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4"/>
      <w:szCs w:val="20"/>
      <w:rFonts w:ascii="Times New Roman" w:hAnsi="Times New Roman" w:eastAsia="Times New Roman" w:cs="Times New Roma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szCs w:val="20"/>
      <w:rFonts w:ascii="Times New Roman" w:hAnsi="Times New Roman"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  <w:rFonts w:ascii="Times New Roman" w:hAnsi="Times New Roman"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  <w:rFonts w:ascii="Times New Roman" w:hAnsi="Times New Roman"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rFonts w:ascii="Times New Roman" w:hAnsi="Times New Roman"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  <w:rFonts w:ascii="Times New Roman" w:hAnsi="Times New Roman" w:eastAsia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  <w:rFonts w:ascii="Times New Roman" w:hAnsi="Times New Roman" w:eastAsia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  <w:rFonts w:ascii="Times New Roman" w:hAnsi="Times New Roman" w:eastAsia="Times New Roman" w:cs="Times New Roma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4"/>
      <w:szCs w:val="16"/>
      <w:rFonts w:ascii="Times New Roman" w:hAnsi="Times New Roman" w:eastAsia="Times New Roman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24"/>
      <w:szCs w:val="16"/>
      <w:rFonts w:ascii="Times New Roman" w:hAnsi="Times New Roman" w:eastAsia="Times New Roman" w:cs="Times New Roma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  <w:rFonts w:ascii="Times New Roman" w:hAnsi="Times New Roman" w:eastAsia="Times New Roman" w:cs="Times New Roma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4"/>
      <w:szCs w:val="20"/>
      <w:rFonts w:ascii="Times New Roman" w:hAnsi="Times New Roman"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  <w:rFonts w:ascii="Times New Roman" w:hAnsi="Times New Roman"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4"/>
      <w:szCs w:val="20"/>
      <w:rFonts w:ascii="Times New Roman" w:hAnsi="Times New Roman" w:eastAsia="Times New Roman" w:cs="Times New Roma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szCs w:val="20"/>
      <w:rFonts w:ascii="Times New Roman" w:hAnsi="Times New Roman" w:eastAsia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4"/>
      <w:szCs w:val="18"/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24"/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24"/>
      <w:rFonts w:ascii="Times New Roman" w:hAnsi="Times New Roman" w:eastAsia="Times New Roman"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  <w:sz w:val="24"/>
      <w:rFonts w:ascii="Times New Roman" w:hAnsi="Times New Roman" w:eastAsia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24"/>
      <w:rFonts w:ascii="Times New Roman" w:hAnsi="Times New Roman" w:eastAsia="Times New Roman" w:cs="Times New Roma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24"/>
      <w:rFonts w:ascii="Times New Roman" w:hAnsi="Times New Roman" w:eastAsia="Times New Roman" w:cs="Times New Roma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24"/>
      <w:u w:val="single"/>
      <w:rFonts w:ascii="Times New Roman" w:hAnsi="Times New Roman" w:eastAsia="Times New Roman" w:cs="Times New Roma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4"/>
      <w:u w:val="single"/>
      <w:rFonts w:ascii="Times New Roman" w:hAnsi="Times New Roman" w:eastAsia="Times New Roman" w:cs="Times New Roman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4"/>
      <w:rFonts w:ascii="Times New Roman" w:hAnsi="Times New Roman" w:eastAsia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kubernetes.io/docs/concepts/overview/" TargetMode="External"/><Relationship Id="rId11" Type="http://schemas.openxmlformats.org/officeDocument/2006/relationships/hyperlink" Target="https://okd.io/" TargetMode="External"/><Relationship Id="rId12" Type="http://schemas.openxmlformats.org/officeDocument/2006/relationships/hyperlink" Target="https://docs.redhat.com/en/documentation/openshift_container_platform/" TargetMode="External"/><Relationship Id="rId13" Type="http://schemas.openxmlformats.org/officeDocument/2006/relationships/hyperlink" Target="https://grafana.com/docs/k6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DOC-03-01 Manual de instalación del laboratorio Kubernetes en una laptop</dc:title>
  <dc:subject/>
  <dc:creator>Seminario Kubernetes y OpenShift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