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 de cierre contable mensual</w:t>
      </w:r>
    </w:p>
    <w:p>
      <w:r>
        <w:rPr>
          <w:i/>
        </w:rPr>
        <w:t>Versión 2.3 · Área de Contabilidad · Documento ficticio para pruebas</w:t>
      </w:r>
    </w:p>
    <w:p>
      <w:pPr>
        <w:pStyle w:val="Heading2"/>
      </w:pPr>
      <w:r>
        <w:t>1. Objetivo</w:t>
      </w:r>
    </w:p>
    <w:p>
      <w:r>
        <w:t>Establecer los pasos para el cierre contable mensual, asegurando que la información financiera sea confiable y cumpla con las NIIF y con las disposiciones de la SAT. Este procedimiento a sido aprovado por la gerencia del SFC.</w:t>
      </w:r>
    </w:p>
    <w:p>
      <w:pPr>
        <w:pStyle w:val="Heading2"/>
      </w:pPr>
      <w:r>
        <w:t>2. Alcance</w:t>
      </w:r>
    </w:p>
    <w:p>
      <w:r>
        <w:t xml:space="preserve">Aplica a todas las unidades de negocio. </w:t>
      </w:r>
      <w:r>
        <w:rPr>
          <w:b/>
        </w:rPr>
        <w:t>Ningun asiento</w:t>
      </w:r>
      <w:r>
        <w:t xml:space="preserve"> podrá registrarse después del día hábil 5 sin autorización del Jefe de Contabilidad, salvo exepción documentada.</w:t>
      </w:r>
    </w:p>
    <w:p>
      <w:pPr>
        <w:pStyle w:val="Heading2"/>
      </w:pPr>
      <w:r>
        <w:t>3. Actividades</w:t>
      </w:r>
    </w:p>
    <w:p>
      <w:pPr>
        <w:pStyle w:val="ListNumber"/>
      </w:pPr>
      <w:r>
        <w:t>Conciliar las cuentas bancarias de Banrural y Banco Industrial.</w:t>
      </w:r>
    </w:p>
    <w:p>
      <w:pPr>
        <w:pStyle w:val="ListNumber"/>
      </w:pPr>
      <w:r>
        <w:t>Revisar que los DTE emitidos en FEL coincidan con el libro de ventas.</w:t>
      </w:r>
    </w:p>
    <w:p>
      <w:pPr>
        <w:pStyle w:val="ListNumber"/>
      </w:pPr>
      <w:r>
        <w:t>Calcular el IVA y el ISR del periodo y verificar que las cifras cuadren con el haver del libro mayor.</w:t>
      </w:r>
    </w:p>
    <w:p>
      <w:pPr>
        <w:pStyle w:val="ListNumber"/>
      </w:pPr>
      <w:r>
        <w:t>Registrar las provisiones de acuerdo a la politica vigente.</w:t>
      </w:r>
    </w:p>
    <w:p>
      <w:pPr>
        <w:pStyle w:val="ListNumber"/>
      </w:pPr>
      <w:r>
        <w:t>Enviar el informe al revisor atravez del sistema.</w:t>
      </w:r>
    </w:p>
    <w:p>
      <w:pPr>
        <w:pStyle w:val="Heading2"/>
      </w:pPr>
      <w:r>
        <w:t>4.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Analista contable</w:t>
            </w:r>
          </w:p>
        </w:tc>
        <w:tc>
          <w:tcPr>
            <w:tcW w:type="dxa" w:w="4320"/>
          </w:tcPr>
          <w:p>
            <w:r>
              <w:t>Preparar los asientos y las concilaciones.</w:t>
            </w:r>
          </w:p>
        </w:tc>
      </w:tr>
      <w:tr>
        <w:tc>
          <w:tcPr>
            <w:tcW w:type="dxa" w:w="4320"/>
          </w:tcPr>
          <w:p>
            <w:r>
              <w:t>Jefe de Contabilidad</w:t>
            </w:r>
          </w:p>
        </w:tc>
        <w:tc>
          <w:tcPr>
            <w:tcW w:type="dxa" w:w="4320"/>
          </w:tcPr>
          <w:p>
            <w:r>
              <w:t>Tomar la desición final sobre ajustes.</w:t>
            </w:r>
          </w:p>
        </w:tc>
      </w:tr>
    </w:tbl>
    <w:p>
      <w:r>
        <w:t>Los documentos de soporte deben ser archivados por un periodo de tres meses, de acuerdo con la política de retención.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Servicios Financieros Compartidos · SFC · Uso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