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D94F6" w14:textId="77777777" w:rsidR="0006702C" w:rsidRDefault="0006702C" w:rsidP="0006702C">
      <w:pPr>
        <w:spacing w:after="100"/>
        <w:jc w:val="center"/>
        <w:rPr>
          <w:rFonts w:ascii="Cambria" w:eastAsia="Cambria" w:hAnsi="Cambria" w:cs="Cambria"/>
          <w:sz w:val="42"/>
          <w:szCs w:val="42"/>
        </w:rPr>
      </w:pPr>
      <w:r>
        <w:rPr>
          <w:rFonts w:ascii="Cambria" w:eastAsia="Cambria" w:hAnsi="Cambria" w:cs="Cambria"/>
          <w:sz w:val="42"/>
          <w:szCs w:val="42"/>
        </w:rPr>
        <w:t>National Economics University</w:t>
      </w:r>
    </w:p>
    <w:p w14:paraId="6CB8706A" w14:textId="77777777" w:rsidR="0006702C" w:rsidRDefault="0006702C" w:rsidP="0006702C">
      <w:pPr>
        <w:spacing w:after="100"/>
        <w:jc w:val="center"/>
        <w:rPr>
          <w:rFonts w:ascii="Cambria" w:eastAsia="Cambria" w:hAnsi="Cambria" w:cs="Cambria"/>
          <w:szCs w:val="24"/>
        </w:rPr>
      </w:pPr>
      <w:r>
        <w:rPr>
          <w:rFonts w:ascii="Cambria" w:eastAsia="Cambria" w:hAnsi="Cambria" w:cs="Cambria"/>
          <w:szCs w:val="24"/>
        </w:rPr>
        <w:t>-----------------</w:t>
      </w:r>
    </w:p>
    <w:p w14:paraId="7ABD848C" w14:textId="1BC8C897" w:rsidR="0006702C" w:rsidRDefault="0006702C" w:rsidP="0006702C">
      <w:pPr>
        <w:spacing w:after="100"/>
        <w:jc w:val="center"/>
        <w:rPr>
          <w:rFonts w:ascii="Cambria" w:eastAsia="Cambria" w:hAnsi="Cambria" w:cs="Cambria"/>
          <w:szCs w:val="24"/>
        </w:rPr>
      </w:pPr>
      <w:r>
        <w:rPr>
          <w:rFonts w:ascii="Cambria" w:eastAsia="Cambria" w:hAnsi="Cambria" w:cs="Cambria"/>
          <w:noProof/>
          <w:szCs w:val="24"/>
        </w:rPr>
        <w:drawing>
          <wp:inline distT="0" distB="0" distL="0" distR="0" wp14:anchorId="1DCD20AF" wp14:editId="18820D06">
            <wp:extent cx="1386840" cy="1341120"/>
            <wp:effectExtent l="0" t="0" r="3810" b="0"/>
            <wp:docPr id="727009237" name="Picture 22" descr="A blue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A blue and red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6840" cy="1341120"/>
                    </a:xfrm>
                    <a:prstGeom prst="rect">
                      <a:avLst/>
                    </a:prstGeom>
                    <a:noFill/>
                    <a:ln>
                      <a:noFill/>
                    </a:ln>
                  </pic:spPr>
                </pic:pic>
              </a:graphicData>
            </a:graphic>
          </wp:inline>
        </w:drawing>
      </w:r>
    </w:p>
    <w:p w14:paraId="5392DA61" w14:textId="77777777" w:rsidR="0006702C" w:rsidRDefault="0006702C" w:rsidP="0006702C">
      <w:pPr>
        <w:spacing w:after="100"/>
        <w:jc w:val="center"/>
        <w:rPr>
          <w:rFonts w:ascii="Cambria" w:eastAsia="Cambria" w:hAnsi="Cambria" w:cs="Cambria"/>
          <w:sz w:val="50"/>
          <w:szCs w:val="50"/>
        </w:rPr>
      </w:pPr>
      <w:r>
        <w:rPr>
          <w:rFonts w:ascii="Cambria" w:eastAsia="Cambria" w:hAnsi="Cambria" w:cs="Cambria"/>
          <w:sz w:val="50"/>
          <w:szCs w:val="50"/>
        </w:rPr>
        <w:t>Bachelor of Financial Technology Program</w:t>
      </w:r>
    </w:p>
    <w:p w14:paraId="43D0AE41" w14:textId="77777777" w:rsidR="0006702C" w:rsidRDefault="0006702C" w:rsidP="0006702C">
      <w:pPr>
        <w:spacing w:after="100"/>
        <w:jc w:val="center"/>
        <w:rPr>
          <w:rFonts w:ascii="Cambria" w:eastAsia="Cambria" w:hAnsi="Cambria" w:cs="Cambria"/>
          <w:sz w:val="50"/>
          <w:szCs w:val="50"/>
        </w:rPr>
      </w:pPr>
      <w:r>
        <w:rPr>
          <w:rFonts w:ascii="Cambria" w:eastAsia="Cambria" w:hAnsi="Cambria" w:cs="Cambria"/>
          <w:sz w:val="50"/>
          <w:szCs w:val="50"/>
        </w:rPr>
        <w:t>Intake 62</w:t>
      </w:r>
    </w:p>
    <w:p w14:paraId="37B9C67C" w14:textId="77777777" w:rsidR="0006702C" w:rsidRDefault="0006702C" w:rsidP="0006702C">
      <w:pPr>
        <w:spacing w:after="100"/>
        <w:rPr>
          <w:rFonts w:ascii="Cambria" w:eastAsia="Cambria" w:hAnsi="Cambria" w:cs="Cambria"/>
          <w:szCs w:val="24"/>
        </w:rPr>
      </w:pPr>
    </w:p>
    <w:p w14:paraId="6D0058D6" w14:textId="77777777" w:rsidR="0006702C" w:rsidRDefault="0006702C" w:rsidP="0006702C">
      <w:pPr>
        <w:spacing w:after="100"/>
        <w:jc w:val="center"/>
        <w:rPr>
          <w:rFonts w:ascii="Cambria" w:eastAsia="Cambria" w:hAnsi="Cambria" w:cs="Cambria"/>
          <w:sz w:val="46"/>
          <w:szCs w:val="46"/>
        </w:rPr>
      </w:pPr>
      <w:r>
        <w:rPr>
          <w:rFonts w:ascii="Cambria" w:eastAsia="Cambria" w:hAnsi="Cambria" w:cs="Cambria"/>
          <w:sz w:val="46"/>
          <w:szCs w:val="46"/>
        </w:rPr>
        <w:t>Topics in Portfolio Management</w:t>
      </w:r>
    </w:p>
    <w:p w14:paraId="415D091F" w14:textId="77777777" w:rsidR="0006702C" w:rsidRDefault="0006702C" w:rsidP="0006702C">
      <w:pPr>
        <w:spacing w:after="100"/>
        <w:jc w:val="center"/>
        <w:rPr>
          <w:rFonts w:ascii="Cambria" w:eastAsia="Cambria" w:hAnsi="Cambria" w:cs="Cambria"/>
          <w:color w:val="38761D"/>
          <w:sz w:val="46"/>
          <w:szCs w:val="46"/>
          <w:lang w:val="en-US"/>
        </w:rPr>
      </w:pPr>
      <w:r>
        <w:rPr>
          <w:rFonts w:ascii="Cambria" w:eastAsia="Cambria" w:hAnsi="Cambria" w:cs="Cambria"/>
          <w:sz w:val="46"/>
          <w:szCs w:val="46"/>
        </w:rPr>
        <w:t>VCBF-BCF</w:t>
      </w:r>
      <w:r>
        <w:rPr>
          <w:rFonts w:ascii="Cambria" w:eastAsia="Cambria" w:hAnsi="Cambria" w:cs="Cambria"/>
          <w:sz w:val="46"/>
          <w:szCs w:val="46"/>
          <w:lang w:val="vi-VN"/>
        </w:rPr>
        <w:t xml:space="preserve"> Analy</w:t>
      </w:r>
      <w:r>
        <w:rPr>
          <w:rFonts w:ascii="Cambria" w:eastAsia="Cambria" w:hAnsi="Cambria" w:cs="Cambria"/>
          <w:sz w:val="46"/>
          <w:szCs w:val="46"/>
          <w:lang w:val="en-US"/>
        </w:rPr>
        <w:t>sis</w:t>
      </w:r>
    </w:p>
    <w:tbl>
      <w:tblPr>
        <w:tblStyle w:val="7"/>
        <w:tblW w:w="7800" w:type="dxa"/>
        <w:jc w:val="center"/>
        <w:tblInd w:w="0" w:type="dxa"/>
        <w:tblBorders>
          <w:insideH w:val="nil"/>
          <w:insideV w:val="nil"/>
        </w:tblBorders>
        <w:tblLayout w:type="fixed"/>
        <w:tblLook w:val="0400" w:firstRow="0" w:lastRow="0" w:firstColumn="0" w:lastColumn="0" w:noHBand="0" w:noVBand="1"/>
      </w:tblPr>
      <w:tblGrid>
        <w:gridCol w:w="4511"/>
        <w:gridCol w:w="3289"/>
      </w:tblGrid>
      <w:tr w:rsidR="0006702C" w14:paraId="40C07916" w14:textId="77777777" w:rsidTr="0006702C">
        <w:trPr>
          <w:jc w:val="center"/>
        </w:trPr>
        <w:tc>
          <w:tcPr>
            <w:tcW w:w="7797" w:type="dxa"/>
            <w:gridSpan w:val="2"/>
            <w:tcBorders>
              <w:top w:val="nil"/>
              <w:left w:val="nil"/>
              <w:bottom w:val="nil"/>
              <w:right w:val="nil"/>
            </w:tcBorders>
            <w:vAlign w:val="center"/>
          </w:tcPr>
          <w:p w14:paraId="2933BC03" w14:textId="77777777" w:rsidR="0006702C" w:rsidRDefault="0006702C">
            <w:pPr>
              <w:spacing w:after="100"/>
              <w:rPr>
                <w:rFonts w:ascii="Cambria" w:eastAsia="Cambria" w:hAnsi="Cambria" w:cs="Cambria"/>
                <w:szCs w:val="24"/>
              </w:rPr>
            </w:pPr>
          </w:p>
        </w:tc>
      </w:tr>
      <w:tr w:rsidR="0006702C" w14:paraId="4BE30213" w14:textId="77777777" w:rsidTr="0006702C">
        <w:trPr>
          <w:jc w:val="center"/>
        </w:trPr>
        <w:tc>
          <w:tcPr>
            <w:tcW w:w="4509" w:type="dxa"/>
            <w:tcBorders>
              <w:top w:val="nil"/>
              <w:left w:val="nil"/>
              <w:bottom w:val="nil"/>
              <w:right w:val="nil"/>
            </w:tcBorders>
            <w:vAlign w:val="center"/>
            <w:hideMark/>
          </w:tcPr>
          <w:p w14:paraId="32F20B19" w14:textId="5F442066" w:rsidR="0006702C" w:rsidRDefault="0006702C">
            <w:pPr>
              <w:spacing w:after="100"/>
              <w:jc w:val="both"/>
              <w:rPr>
                <w:rFonts w:ascii="Cambria" w:eastAsia="Cambria" w:hAnsi="Cambria" w:cs="Cambria"/>
                <w:szCs w:val="24"/>
              </w:rPr>
            </w:pPr>
            <w:r>
              <w:rPr>
                <w:rFonts w:ascii="Cambria" w:eastAsia="Cambria" w:hAnsi="Cambria" w:cs="Cambria"/>
                <w:szCs w:val="24"/>
              </w:rPr>
              <w:t>Name: Tran Duc Thai</w:t>
            </w:r>
          </w:p>
        </w:tc>
        <w:tc>
          <w:tcPr>
            <w:tcW w:w="3288" w:type="dxa"/>
            <w:tcBorders>
              <w:top w:val="nil"/>
              <w:left w:val="nil"/>
              <w:bottom w:val="nil"/>
              <w:right w:val="nil"/>
            </w:tcBorders>
            <w:vAlign w:val="center"/>
            <w:hideMark/>
          </w:tcPr>
          <w:p w14:paraId="0AA08A36" w14:textId="08D536FB" w:rsidR="0006702C" w:rsidRDefault="0006702C">
            <w:pPr>
              <w:spacing w:after="100"/>
              <w:jc w:val="right"/>
              <w:rPr>
                <w:rFonts w:ascii="Cambria" w:eastAsia="Cambria" w:hAnsi="Cambria" w:cs="Cambria"/>
                <w:szCs w:val="24"/>
              </w:rPr>
            </w:pPr>
            <w:r>
              <w:rPr>
                <w:rFonts w:ascii="Cambria" w:eastAsia="Cambria" w:hAnsi="Cambria" w:cs="Cambria"/>
                <w:szCs w:val="24"/>
              </w:rPr>
              <w:t>Student ID: 11203514</w:t>
            </w:r>
          </w:p>
        </w:tc>
      </w:tr>
      <w:tr w:rsidR="0006702C" w14:paraId="411655D8" w14:textId="77777777" w:rsidTr="0006702C">
        <w:trPr>
          <w:jc w:val="center"/>
        </w:trPr>
        <w:tc>
          <w:tcPr>
            <w:tcW w:w="4509" w:type="dxa"/>
            <w:tcBorders>
              <w:top w:val="nil"/>
              <w:left w:val="nil"/>
              <w:bottom w:val="nil"/>
              <w:right w:val="nil"/>
            </w:tcBorders>
            <w:vAlign w:val="center"/>
          </w:tcPr>
          <w:p w14:paraId="5ED35F2E" w14:textId="77777777" w:rsidR="0006702C" w:rsidRDefault="0006702C">
            <w:pPr>
              <w:spacing w:after="100"/>
              <w:jc w:val="both"/>
              <w:rPr>
                <w:rFonts w:ascii="Cambria" w:eastAsia="Cambria" w:hAnsi="Cambria" w:cs="Cambria"/>
                <w:szCs w:val="24"/>
                <w:lang w:val="en-US"/>
              </w:rPr>
            </w:pPr>
          </w:p>
        </w:tc>
        <w:tc>
          <w:tcPr>
            <w:tcW w:w="3288" w:type="dxa"/>
            <w:tcBorders>
              <w:top w:val="nil"/>
              <w:left w:val="nil"/>
              <w:bottom w:val="nil"/>
              <w:right w:val="nil"/>
            </w:tcBorders>
            <w:vAlign w:val="center"/>
          </w:tcPr>
          <w:p w14:paraId="6DF73E1A" w14:textId="77777777" w:rsidR="0006702C" w:rsidRDefault="0006702C">
            <w:pPr>
              <w:spacing w:after="100"/>
              <w:jc w:val="right"/>
              <w:rPr>
                <w:rFonts w:ascii="Cambria" w:eastAsia="Cambria" w:hAnsi="Cambria" w:cs="Cambria"/>
                <w:szCs w:val="24"/>
              </w:rPr>
            </w:pPr>
          </w:p>
        </w:tc>
      </w:tr>
    </w:tbl>
    <w:p w14:paraId="10E8169D" w14:textId="77777777" w:rsidR="0006702C" w:rsidRDefault="0006702C" w:rsidP="0006702C">
      <w:pPr>
        <w:spacing w:after="100"/>
        <w:jc w:val="both"/>
        <w:rPr>
          <w:rFonts w:ascii="Cambria" w:eastAsia="Cambria" w:hAnsi="Cambria" w:cs="Cambria"/>
          <w:szCs w:val="24"/>
        </w:rPr>
      </w:pPr>
      <w:bookmarkStart w:id="0" w:name="_heading=h.lbg2jt7safjp"/>
      <w:bookmarkStart w:id="1" w:name="_heading=h.tu66mgamvq93"/>
      <w:bookmarkEnd w:id="0"/>
      <w:bookmarkEnd w:id="1"/>
    </w:p>
    <w:p w14:paraId="32B84207" w14:textId="77777777" w:rsidR="0006702C" w:rsidRDefault="0006702C" w:rsidP="0006702C">
      <w:pPr>
        <w:spacing w:after="100"/>
        <w:jc w:val="both"/>
        <w:rPr>
          <w:rFonts w:ascii="Cambria" w:eastAsia="Cambria" w:hAnsi="Cambria" w:cs="Cambria"/>
          <w:szCs w:val="24"/>
        </w:rPr>
      </w:pPr>
    </w:p>
    <w:p w14:paraId="61C9DAD6" w14:textId="77777777" w:rsidR="0006702C" w:rsidRDefault="0006702C" w:rsidP="0006702C">
      <w:pPr>
        <w:spacing w:after="100"/>
        <w:jc w:val="both"/>
        <w:rPr>
          <w:rFonts w:ascii="Cambria" w:eastAsia="Cambria" w:hAnsi="Cambria" w:cs="Cambria"/>
          <w:szCs w:val="24"/>
        </w:rPr>
      </w:pPr>
    </w:p>
    <w:p w14:paraId="1AC177EA" w14:textId="77777777" w:rsidR="0006702C" w:rsidRDefault="0006702C" w:rsidP="0006702C">
      <w:pPr>
        <w:spacing w:after="100"/>
        <w:jc w:val="both"/>
        <w:rPr>
          <w:rFonts w:ascii="Cambria" w:eastAsia="Cambria" w:hAnsi="Cambria" w:cs="Cambria"/>
          <w:szCs w:val="24"/>
        </w:rPr>
      </w:pPr>
    </w:p>
    <w:p w14:paraId="0B21FE83" w14:textId="77777777" w:rsidR="0006702C" w:rsidRDefault="0006702C" w:rsidP="0006702C">
      <w:pPr>
        <w:spacing w:after="100"/>
        <w:jc w:val="center"/>
        <w:rPr>
          <w:rFonts w:ascii="Cambria" w:eastAsia="Cambria" w:hAnsi="Cambria" w:cs="Cambria"/>
          <w:color w:val="366091"/>
          <w:szCs w:val="24"/>
        </w:rPr>
      </w:pPr>
      <w:bookmarkStart w:id="2" w:name="_heading=h.gjdgxs"/>
      <w:bookmarkEnd w:id="2"/>
      <w:r>
        <w:rPr>
          <w:rFonts w:ascii="Cambria" w:eastAsia="Cambria" w:hAnsi="Cambria" w:cs="Cambria"/>
          <w:szCs w:val="24"/>
        </w:rPr>
        <w:t>Hanoi, 9/2023</w:t>
      </w:r>
      <w:r>
        <w:br w:type="page"/>
      </w:r>
    </w:p>
    <w:p w14:paraId="322DAB67" w14:textId="77777777" w:rsidR="0006702C" w:rsidRDefault="0006702C" w:rsidP="0006702C">
      <w:pPr>
        <w:pStyle w:val="Heading1"/>
        <w:spacing w:before="240" w:after="100"/>
        <w:jc w:val="both"/>
        <w:rPr>
          <w:rFonts w:asciiTheme="minorHAnsi" w:eastAsia="Arial" w:hAnsiTheme="minorHAnsi" w:cs="Times New Roman"/>
          <w:color w:val="auto"/>
        </w:rPr>
      </w:pPr>
      <w:bookmarkStart w:id="3" w:name="_Toc168907790"/>
      <w:r>
        <w:rPr>
          <w:rFonts w:eastAsia="Arial"/>
        </w:rPr>
        <w:lastRenderedPageBreak/>
        <w:t>Table of Content</w:t>
      </w:r>
      <w:bookmarkEnd w:id="3"/>
    </w:p>
    <w:sdt>
      <w:sdtPr>
        <w:id w:val="1825157793"/>
        <w:docPartObj>
          <w:docPartGallery w:val="Table of Contents"/>
          <w:docPartUnique/>
        </w:docPartObj>
      </w:sdtPr>
      <w:sdtContent>
        <w:p w14:paraId="61449AE0" w14:textId="78A61B76" w:rsidR="001A7F97" w:rsidRDefault="0006702C">
          <w:pPr>
            <w:pStyle w:val="TOC1"/>
            <w:tabs>
              <w:tab w:val="right" w:pos="9350"/>
            </w:tabs>
            <w:rPr>
              <w:noProof/>
            </w:rPr>
          </w:pPr>
          <w:r>
            <w:fldChar w:fldCharType="begin"/>
          </w:r>
          <w:r>
            <w:instrText xml:space="preserve"> TOC \h \u \z \t "Heading 1,1,Heading 2,2,Heading 3,3,"</w:instrText>
          </w:r>
          <w:r>
            <w:fldChar w:fldCharType="separate"/>
          </w:r>
          <w:hyperlink w:anchor="_Toc168907790" w:history="1">
            <w:r w:rsidR="001A7F97" w:rsidRPr="00471F76">
              <w:rPr>
                <w:rStyle w:val="Hyperlink"/>
                <w:noProof/>
              </w:rPr>
              <w:t>Table o</w:t>
            </w:r>
            <w:r w:rsidR="001A7F97" w:rsidRPr="00471F76">
              <w:rPr>
                <w:rStyle w:val="Hyperlink"/>
                <w:noProof/>
              </w:rPr>
              <w:t>f</w:t>
            </w:r>
            <w:r w:rsidR="001A7F97" w:rsidRPr="00471F76">
              <w:rPr>
                <w:rStyle w:val="Hyperlink"/>
                <w:noProof/>
              </w:rPr>
              <w:t xml:space="preserve"> Content</w:t>
            </w:r>
            <w:r w:rsidR="001A7F97">
              <w:rPr>
                <w:noProof/>
                <w:webHidden/>
              </w:rPr>
              <w:tab/>
            </w:r>
            <w:r w:rsidR="001A7F97">
              <w:rPr>
                <w:noProof/>
                <w:webHidden/>
              </w:rPr>
              <w:fldChar w:fldCharType="begin"/>
            </w:r>
            <w:r w:rsidR="001A7F97">
              <w:rPr>
                <w:noProof/>
                <w:webHidden/>
              </w:rPr>
              <w:instrText xml:space="preserve"> PAGEREF _Toc168907790 \h </w:instrText>
            </w:r>
            <w:r w:rsidR="001A7F97">
              <w:rPr>
                <w:noProof/>
                <w:webHidden/>
              </w:rPr>
            </w:r>
            <w:r w:rsidR="001A7F97">
              <w:rPr>
                <w:noProof/>
                <w:webHidden/>
              </w:rPr>
              <w:fldChar w:fldCharType="separate"/>
            </w:r>
            <w:r w:rsidR="001A7F97">
              <w:rPr>
                <w:noProof/>
                <w:webHidden/>
              </w:rPr>
              <w:t>2</w:t>
            </w:r>
            <w:r w:rsidR="001A7F97">
              <w:rPr>
                <w:noProof/>
                <w:webHidden/>
              </w:rPr>
              <w:fldChar w:fldCharType="end"/>
            </w:r>
          </w:hyperlink>
        </w:p>
        <w:p w14:paraId="1FF679D7" w14:textId="57BC06BD" w:rsidR="001A7F97" w:rsidRDefault="001A7F97">
          <w:pPr>
            <w:pStyle w:val="TOC1"/>
            <w:tabs>
              <w:tab w:val="right" w:pos="9350"/>
            </w:tabs>
            <w:rPr>
              <w:noProof/>
            </w:rPr>
          </w:pPr>
          <w:hyperlink w:anchor="_Toc168907791" w:history="1">
            <w:r w:rsidRPr="00471F76">
              <w:rPr>
                <w:rStyle w:val="Hyperlink"/>
                <w:noProof/>
              </w:rPr>
              <w:t>Chapt</w:t>
            </w:r>
            <w:r w:rsidRPr="00471F76">
              <w:rPr>
                <w:rStyle w:val="Hyperlink"/>
                <w:noProof/>
              </w:rPr>
              <w:t>e</w:t>
            </w:r>
            <w:r w:rsidRPr="00471F76">
              <w:rPr>
                <w:rStyle w:val="Hyperlink"/>
                <w:noProof/>
              </w:rPr>
              <w:t>r 1: Vietcombank Fund Management Company Limited (VCBF)</w:t>
            </w:r>
            <w:r>
              <w:rPr>
                <w:noProof/>
                <w:webHidden/>
              </w:rPr>
              <w:tab/>
            </w:r>
            <w:r>
              <w:rPr>
                <w:noProof/>
                <w:webHidden/>
              </w:rPr>
              <w:fldChar w:fldCharType="begin"/>
            </w:r>
            <w:r>
              <w:rPr>
                <w:noProof/>
                <w:webHidden/>
              </w:rPr>
              <w:instrText xml:space="preserve"> PAGEREF _Toc168907791 \h </w:instrText>
            </w:r>
            <w:r>
              <w:rPr>
                <w:noProof/>
                <w:webHidden/>
              </w:rPr>
            </w:r>
            <w:r>
              <w:rPr>
                <w:noProof/>
                <w:webHidden/>
              </w:rPr>
              <w:fldChar w:fldCharType="separate"/>
            </w:r>
            <w:r>
              <w:rPr>
                <w:noProof/>
                <w:webHidden/>
              </w:rPr>
              <w:t>4</w:t>
            </w:r>
            <w:r>
              <w:rPr>
                <w:noProof/>
                <w:webHidden/>
              </w:rPr>
              <w:fldChar w:fldCharType="end"/>
            </w:r>
          </w:hyperlink>
        </w:p>
        <w:p w14:paraId="4DACE740" w14:textId="1C0CCDF1" w:rsidR="001A7F97" w:rsidRDefault="001A7F97">
          <w:pPr>
            <w:pStyle w:val="TOC2"/>
            <w:tabs>
              <w:tab w:val="right" w:pos="9350"/>
            </w:tabs>
            <w:rPr>
              <w:noProof/>
            </w:rPr>
          </w:pPr>
          <w:hyperlink w:anchor="_Toc168907792" w:history="1">
            <w:r w:rsidRPr="00471F76">
              <w:rPr>
                <w:rStyle w:val="Hyperlink"/>
                <w:noProof/>
              </w:rPr>
              <w:t>1. Development History</w:t>
            </w:r>
            <w:r>
              <w:rPr>
                <w:noProof/>
                <w:webHidden/>
              </w:rPr>
              <w:tab/>
            </w:r>
            <w:r>
              <w:rPr>
                <w:noProof/>
                <w:webHidden/>
              </w:rPr>
              <w:fldChar w:fldCharType="begin"/>
            </w:r>
            <w:r>
              <w:rPr>
                <w:noProof/>
                <w:webHidden/>
              </w:rPr>
              <w:instrText xml:space="preserve"> PAGEREF _Toc168907792 \h </w:instrText>
            </w:r>
            <w:r>
              <w:rPr>
                <w:noProof/>
                <w:webHidden/>
              </w:rPr>
            </w:r>
            <w:r>
              <w:rPr>
                <w:noProof/>
                <w:webHidden/>
              </w:rPr>
              <w:fldChar w:fldCharType="separate"/>
            </w:r>
            <w:r>
              <w:rPr>
                <w:noProof/>
                <w:webHidden/>
              </w:rPr>
              <w:t>4</w:t>
            </w:r>
            <w:r>
              <w:rPr>
                <w:noProof/>
                <w:webHidden/>
              </w:rPr>
              <w:fldChar w:fldCharType="end"/>
            </w:r>
          </w:hyperlink>
        </w:p>
        <w:p w14:paraId="7D305A4A" w14:textId="679D346F" w:rsidR="001A7F97" w:rsidRDefault="001A7F97">
          <w:pPr>
            <w:pStyle w:val="TOC2"/>
            <w:tabs>
              <w:tab w:val="right" w:pos="9350"/>
            </w:tabs>
            <w:rPr>
              <w:noProof/>
            </w:rPr>
          </w:pPr>
          <w:hyperlink w:anchor="_Toc168907793" w:history="1">
            <w:r w:rsidRPr="00471F76">
              <w:rPr>
                <w:rStyle w:val="Hyperlink"/>
                <w:noProof/>
              </w:rPr>
              <w:t>2. Subs</w:t>
            </w:r>
            <w:r w:rsidRPr="00471F76">
              <w:rPr>
                <w:rStyle w:val="Hyperlink"/>
                <w:noProof/>
              </w:rPr>
              <w:t>i</w:t>
            </w:r>
            <w:r w:rsidRPr="00471F76">
              <w:rPr>
                <w:rStyle w:val="Hyperlink"/>
                <w:noProof/>
              </w:rPr>
              <w:t>diary Funds</w:t>
            </w:r>
            <w:r>
              <w:rPr>
                <w:noProof/>
                <w:webHidden/>
              </w:rPr>
              <w:tab/>
            </w:r>
            <w:r>
              <w:rPr>
                <w:noProof/>
                <w:webHidden/>
              </w:rPr>
              <w:fldChar w:fldCharType="begin"/>
            </w:r>
            <w:r>
              <w:rPr>
                <w:noProof/>
                <w:webHidden/>
              </w:rPr>
              <w:instrText xml:space="preserve"> PAGEREF _Toc168907793 \h </w:instrText>
            </w:r>
            <w:r>
              <w:rPr>
                <w:noProof/>
                <w:webHidden/>
              </w:rPr>
            </w:r>
            <w:r>
              <w:rPr>
                <w:noProof/>
                <w:webHidden/>
              </w:rPr>
              <w:fldChar w:fldCharType="separate"/>
            </w:r>
            <w:r>
              <w:rPr>
                <w:noProof/>
                <w:webHidden/>
              </w:rPr>
              <w:t>6</w:t>
            </w:r>
            <w:r>
              <w:rPr>
                <w:noProof/>
                <w:webHidden/>
              </w:rPr>
              <w:fldChar w:fldCharType="end"/>
            </w:r>
          </w:hyperlink>
        </w:p>
        <w:p w14:paraId="4304B322" w14:textId="2992C422" w:rsidR="001A7F97" w:rsidRDefault="001A7F97">
          <w:pPr>
            <w:pStyle w:val="TOC1"/>
            <w:tabs>
              <w:tab w:val="right" w:pos="9350"/>
            </w:tabs>
            <w:rPr>
              <w:noProof/>
            </w:rPr>
          </w:pPr>
          <w:hyperlink w:anchor="_Toc168907794" w:history="1">
            <w:r w:rsidRPr="00471F76">
              <w:rPr>
                <w:rStyle w:val="Hyperlink"/>
                <w:noProof/>
              </w:rPr>
              <w:t>Chapter 2: VCBF-BCF Fund</w:t>
            </w:r>
            <w:r>
              <w:rPr>
                <w:noProof/>
                <w:webHidden/>
              </w:rPr>
              <w:tab/>
            </w:r>
            <w:r>
              <w:rPr>
                <w:noProof/>
                <w:webHidden/>
              </w:rPr>
              <w:fldChar w:fldCharType="begin"/>
            </w:r>
            <w:r>
              <w:rPr>
                <w:noProof/>
                <w:webHidden/>
              </w:rPr>
              <w:instrText xml:space="preserve"> PAGEREF _Toc168907794 \h </w:instrText>
            </w:r>
            <w:r>
              <w:rPr>
                <w:noProof/>
                <w:webHidden/>
              </w:rPr>
            </w:r>
            <w:r>
              <w:rPr>
                <w:noProof/>
                <w:webHidden/>
              </w:rPr>
              <w:fldChar w:fldCharType="separate"/>
            </w:r>
            <w:r>
              <w:rPr>
                <w:noProof/>
                <w:webHidden/>
              </w:rPr>
              <w:t>7</w:t>
            </w:r>
            <w:r>
              <w:rPr>
                <w:noProof/>
                <w:webHidden/>
              </w:rPr>
              <w:fldChar w:fldCharType="end"/>
            </w:r>
          </w:hyperlink>
        </w:p>
        <w:p w14:paraId="2658E8B5" w14:textId="1BCCFE9D" w:rsidR="001A7F97" w:rsidRDefault="001A7F97">
          <w:pPr>
            <w:pStyle w:val="TOC2"/>
            <w:tabs>
              <w:tab w:val="right" w:pos="9350"/>
            </w:tabs>
            <w:rPr>
              <w:noProof/>
            </w:rPr>
          </w:pPr>
          <w:hyperlink w:anchor="_Toc168907795" w:history="1">
            <w:r w:rsidRPr="00471F76">
              <w:rPr>
                <w:rStyle w:val="Hyperlink"/>
                <w:noProof/>
              </w:rPr>
              <w:t>1. Basic Information</w:t>
            </w:r>
            <w:r>
              <w:rPr>
                <w:noProof/>
                <w:webHidden/>
              </w:rPr>
              <w:tab/>
            </w:r>
            <w:r>
              <w:rPr>
                <w:noProof/>
                <w:webHidden/>
              </w:rPr>
              <w:fldChar w:fldCharType="begin"/>
            </w:r>
            <w:r>
              <w:rPr>
                <w:noProof/>
                <w:webHidden/>
              </w:rPr>
              <w:instrText xml:space="preserve"> PAGEREF _Toc168907795 \h </w:instrText>
            </w:r>
            <w:r>
              <w:rPr>
                <w:noProof/>
                <w:webHidden/>
              </w:rPr>
            </w:r>
            <w:r>
              <w:rPr>
                <w:noProof/>
                <w:webHidden/>
              </w:rPr>
              <w:fldChar w:fldCharType="separate"/>
            </w:r>
            <w:r>
              <w:rPr>
                <w:noProof/>
                <w:webHidden/>
              </w:rPr>
              <w:t>7</w:t>
            </w:r>
            <w:r>
              <w:rPr>
                <w:noProof/>
                <w:webHidden/>
              </w:rPr>
              <w:fldChar w:fldCharType="end"/>
            </w:r>
          </w:hyperlink>
        </w:p>
        <w:p w14:paraId="3BE43AED" w14:textId="1CC75F17" w:rsidR="001A7F97" w:rsidRDefault="001A7F97">
          <w:pPr>
            <w:pStyle w:val="TOC2"/>
            <w:tabs>
              <w:tab w:val="right" w:pos="9350"/>
            </w:tabs>
            <w:rPr>
              <w:noProof/>
            </w:rPr>
          </w:pPr>
          <w:hyperlink w:anchor="_Toc168907796" w:history="1">
            <w:r w:rsidRPr="00471F76">
              <w:rPr>
                <w:rStyle w:val="Hyperlink"/>
                <w:noProof/>
              </w:rPr>
              <w:t>2. Fees</w:t>
            </w:r>
            <w:r>
              <w:rPr>
                <w:noProof/>
                <w:webHidden/>
              </w:rPr>
              <w:tab/>
            </w:r>
            <w:r>
              <w:rPr>
                <w:noProof/>
                <w:webHidden/>
              </w:rPr>
              <w:fldChar w:fldCharType="begin"/>
            </w:r>
            <w:r>
              <w:rPr>
                <w:noProof/>
                <w:webHidden/>
              </w:rPr>
              <w:instrText xml:space="preserve"> PAGEREF _Toc168907796 \h </w:instrText>
            </w:r>
            <w:r>
              <w:rPr>
                <w:noProof/>
                <w:webHidden/>
              </w:rPr>
            </w:r>
            <w:r>
              <w:rPr>
                <w:noProof/>
                <w:webHidden/>
              </w:rPr>
              <w:fldChar w:fldCharType="separate"/>
            </w:r>
            <w:r>
              <w:rPr>
                <w:noProof/>
                <w:webHidden/>
              </w:rPr>
              <w:t>8</w:t>
            </w:r>
            <w:r>
              <w:rPr>
                <w:noProof/>
                <w:webHidden/>
              </w:rPr>
              <w:fldChar w:fldCharType="end"/>
            </w:r>
          </w:hyperlink>
        </w:p>
        <w:p w14:paraId="3DB56167" w14:textId="1A4B0DE2" w:rsidR="001A7F97" w:rsidRDefault="001A7F97">
          <w:pPr>
            <w:pStyle w:val="TOC2"/>
            <w:tabs>
              <w:tab w:val="right" w:pos="9350"/>
            </w:tabs>
            <w:rPr>
              <w:noProof/>
            </w:rPr>
          </w:pPr>
          <w:hyperlink w:anchor="_Toc168907797" w:history="1">
            <w:r w:rsidRPr="00471F76">
              <w:rPr>
                <w:rStyle w:val="Hyperlink"/>
                <w:noProof/>
              </w:rPr>
              <w:t>3. Investment Strategy</w:t>
            </w:r>
            <w:r>
              <w:rPr>
                <w:noProof/>
                <w:webHidden/>
              </w:rPr>
              <w:tab/>
            </w:r>
            <w:r>
              <w:rPr>
                <w:noProof/>
                <w:webHidden/>
              </w:rPr>
              <w:fldChar w:fldCharType="begin"/>
            </w:r>
            <w:r>
              <w:rPr>
                <w:noProof/>
                <w:webHidden/>
              </w:rPr>
              <w:instrText xml:space="preserve"> PAGEREF _Toc168907797 \h </w:instrText>
            </w:r>
            <w:r>
              <w:rPr>
                <w:noProof/>
                <w:webHidden/>
              </w:rPr>
            </w:r>
            <w:r>
              <w:rPr>
                <w:noProof/>
                <w:webHidden/>
              </w:rPr>
              <w:fldChar w:fldCharType="separate"/>
            </w:r>
            <w:r>
              <w:rPr>
                <w:noProof/>
                <w:webHidden/>
              </w:rPr>
              <w:t>10</w:t>
            </w:r>
            <w:r>
              <w:rPr>
                <w:noProof/>
                <w:webHidden/>
              </w:rPr>
              <w:fldChar w:fldCharType="end"/>
            </w:r>
          </w:hyperlink>
        </w:p>
        <w:p w14:paraId="726674F2" w14:textId="671695C7" w:rsidR="001A7F97" w:rsidRDefault="001A7F97">
          <w:pPr>
            <w:pStyle w:val="TOC2"/>
            <w:tabs>
              <w:tab w:val="right" w:pos="9350"/>
            </w:tabs>
            <w:rPr>
              <w:noProof/>
            </w:rPr>
          </w:pPr>
          <w:hyperlink w:anchor="_Toc168907798" w:history="1">
            <w:r w:rsidRPr="00471F76">
              <w:rPr>
                <w:rStyle w:val="Hyperlink"/>
                <w:noProof/>
              </w:rPr>
              <w:t>4. Portfolio Allocation and Performance</w:t>
            </w:r>
            <w:r>
              <w:rPr>
                <w:noProof/>
                <w:webHidden/>
              </w:rPr>
              <w:tab/>
            </w:r>
            <w:r>
              <w:rPr>
                <w:noProof/>
                <w:webHidden/>
              </w:rPr>
              <w:fldChar w:fldCharType="begin"/>
            </w:r>
            <w:r>
              <w:rPr>
                <w:noProof/>
                <w:webHidden/>
              </w:rPr>
              <w:instrText xml:space="preserve"> PAGEREF _Toc168907798 \h </w:instrText>
            </w:r>
            <w:r>
              <w:rPr>
                <w:noProof/>
                <w:webHidden/>
              </w:rPr>
            </w:r>
            <w:r>
              <w:rPr>
                <w:noProof/>
                <w:webHidden/>
              </w:rPr>
              <w:fldChar w:fldCharType="separate"/>
            </w:r>
            <w:r>
              <w:rPr>
                <w:noProof/>
                <w:webHidden/>
              </w:rPr>
              <w:t>12</w:t>
            </w:r>
            <w:r>
              <w:rPr>
                <w:noProof/>
                <w:webHidden/>
              </w:rPr>
              <w:fldChar w:fldCharType="end"/>
            </w:r>
          </w:hyperlink>
        </w:p>
        <w:p w14:paraId="5FA16185" w14:textId="64B0730B" w:rsidR="001A7F97" w:rsidRDefault="001A7F97">
          <w:pPr>
            <w:pStyle w:val="TOC1"/>
            <w:tabs>
              <w:tab w:val="right" w:pos="9350"/>
            </w:tabs>
            <w:rPr>
              <w:noProof/>
            </w:rPr>
          </w:pPr>
          <w:hyperlink w:anchor="_Toc168907799" w:history="1">
            <w:r w:rsidRPr="00471F76">
              <w:rPr>
                <w:rStyle w:val="Hyperlink"/>
                <w:noProof/>
              </w:rPr>
              <w:t>Chapter 3: Portfolio Optimization and Comparison</w:t>
            </w:r>
            <w:r>
              <w:rPr>
                <w:noProof/>
                <w:webHidden/>
              </w:rPr>
              <w:tab/>
            </w:r>
            <w:r>
              <w:rPr>
                <w:noProof/>
                <w:webHidden/>
              </w:rPr>
              <w:fldChar w:fldCharType="begin"/>
            </w:r>
            <w:r>
              <w:rPr>
                <w:noProof/>
                <w:webHidden/>
              </w:rPr>
              <w:instrText xml:space="preserve"> PAGEREF _Toc168907799 \h </w:instrText>
            </w:r>
            <w:r>
              <w:rPr>
                <w:noProof/>
                <w:webHidden/>
              </w:rPr>
            </w:r>
            <w:r>
              <w:rPr>
                <w:noProof/>
                <w:webHidden/>
              </w:rPr>
              <w:fldChar w:fldCharType="separate"/>
            </w:r>
            <w:r>
              <w:rPr>
                <w:noProof/>
                <w:webHidden/>
              </w:rPr>
              <w:t>17</w:t>
            </w:r>
            <w:r>
              <w:rPr>
                <w:noProof/>
                <w:webHidden/>
              </w:rPr>
              <w:fldChar w:fldCharType="end"/>
            </w:r>
          </w:hyperlink>
        </w:p>
        <w:p w14:paraId="4D272407" w14:textId="775FF231" w:rsidR="001A7F97" w:rsidRDefault="001A7F97">
          <w:pPr>
            <w:pStyle w:val="TOC2"/>
            <w:tabs>
              <w:tab w:val="right" w:pos="9350"/>
            </w:tabs>
            <w:rPr>
              <w:noProof/>
            </w:rPr>
          </w:pPr>
          <w:hyperlink w:anchor="_Toc168907800" w:history="1">
            <w:r w:rsidRPr="00471F76">
              <w:rPr>
                <w:rStyle w:val="Hyperlink"/>
                <w:noProof/>
              </w:rPr>
              <w:t>1. Portfolio Theory</w:t>
            </w:r>
            <w:r>
              <w:rPr>
                <w:noProof/>
                <w:webHidden/>
              </w:rPr>
              <w:tab/>
            </w:r>
            <w:r>
              <w:rPr>
                <w:noProof/>
                <w:webHidden/>
              </w:rPr>
              <w:fldChar w:fldCharType="begin"/>
            </w:r>
            <w:r>
              <w:rPr>
                <w:noProof/>
                <w:webHidden/>
              </w:rPr>
              <w:instrText xml:space="preserve"> PAGEREF _Toc168907800 \h </w:instrText>
            </w:r>
            <w:r>
              <w:rPr>
                <w:noProof/>
                <w:webHidden/>
              </w:rPr>
            </w:r>
            <w:r>
              <w:rPr>
                <w:noProof/>
                <w:webHidden/>
              </w:rPr>
              <w:fldChar w:fldCharType="separate"/>
            </w:r>
            <w:r>
              <w:rPr>
                <w:noProof/>
                <w:webHidden/>
              </w:rPr>
              <w:t>17</w:t>
            </w:r>
            <w:r>
              <w:rPr>
                <w:noProof/>
                <w:webHidden/>
              </w:rPr>
              <w:fldChar w:fldCharType="end"/>
            </w:r>
          </w:hyperlink>
        </w:p>
        <w:p w14:paraId="719DEBEB" w14:textId="63F8CDF8" w:rsidR="001A7F97" w:rsidRDefault="001A7F97">
          <w:pPr>
            <w:pStyle w:val="TOC3"/>
            <w:tabs>
              <w:tab w:val="right" w:pos="9350"/>
            </w:tabs>
            <w:rPr>
              <w:noProof/>
            </w:rPr>
          </w:pPr>
          <w:hyperlink w:anchor="_Toc168907801" w:history="1">
            <w:r w:rsidRPr="00471F76">
              <w:rPr>
                <w:rStyle w:val="Hyperlink"/>
                <w:rFonts w:ascii="Cambria" w:eastAsia="Cambria" w:hAnsi="Cambria" w:cs="Cambria"/>
                <w:noProof/>
              </w:rPr>
              <w:t>Markowitz’s Portfolio Theory</w:t>
            </w:r>
            <w:r>
              <w:rPr>
                <w:noProof/>
                <w:webHidden/>
              </w:rPr>
              <w:tab/>
            </w:r>
            <w:r>
              <w:rPr>
                <w:noProof/>
                <w:webHidden/>
              </w:rPr>
              <w:fldChar w:fldCharType="begin"/>
            </w:r>
            <w:r>
              <w:rPr>
                <w:noProof/>
                <w:webHidden/>
              </w:rPr>
              <w:instrText xml:space="preserve"> PAGEREF _Toc168907801 \h </w:instrText>
            </w:r>
            <w:r>
              <w:rPr>
                <w:noProof/>
                <w:webHidden/>
              </w:rPr>
            </w:r>
            <w:r>
              <w:rPr>
                <w:noProof/>
                <w:webHidden/>
              </w:rPr>
              <w:fldChar w:fldCharType="separate"/>
            </w:r>
            <w:r>
              <w:rPr>
                <w:noProof/>
                <w:webHidden/>
              </w:rPr>
              <w:t>17</w:t>
            </w:r>
            <w:r>
              <w:rPr>
                <w:noProof/>
                <w:webHidden/>
              </w:rPr>
              <w:fldChar w:fldCharType="end"/>
            </w:r>
          </w:hyperlink>
        </w:p>
        <w:p w14:paraId="52708C3C" w14:textId="471751B0" w:rsidR="001A7F97" w:rsidRDefault="001A7F97">
          <w:pPr>
            <w:pStyle w:val="TOC3"/>
            <w:tabs>
              <w:tab w:val="right" w:pos="9350"/>
            </w:tabs>
            <w:rPr>
              <w:noProof/>
            </w:rPr>
          </w:pPr>
          <w:hyperlink w:anchor="_Toc168907802" w:history="1">
            <w:r w:rsidRPr="00471F76">
              <w:rPr>
                <w:rStyle w:val="Hyperlink"/>
                <w:noProof/>
              </w:rPr>
              <w:t>The Capital Allocation Line</w:t>
            </w:r>
            <w:r>
              <w:rPr>
                <w:noProof/>
                <w:webHidden/>
              </w:rPr>
              <w:tab/>
            </w:r>
            <w:r>
              <w:rPr>
                <w:noProof/>
                <w:webHidden/>
              </w:rPr>
              <w:fldChar w:fldCharType="begin"/>
            </w:r>
            <w:r>
              <w:rPr>
                <w:noProof/>
                <w:webHidden/>
              </w:rPr>
              <w:instrText xml:space="preserve"> PAGEREF _Toc168907802 \h </w:instrText>
            </w:r>
            <w:r>
              <w:rPr>
                <w:noProof/>
                <w:webHidden/>
              </w:rPr>
            </w:r>
            <w:r>
              <w:rPr>
                <w:noProof/>
                <w:webHidden/>
              </w:rPr>
              <w:fldChar w:fldCharType="separate"/>
            </w:r>
            <w:r>
              <w:rPr>
                <w:noProof/>
                <w:webHidden/>
              </w:rPr>
              <w:t>19</w:t>
            </w:r>
            <w:r>
              <w:rPr>
                <w:noProof/>
                <w:webHidden/>
              </w:rPr>
              <w:fldChar w:fldCharType="end"/>
            </w:r>
          </w:hyperlink>
        </w:p>
        <w:p w14:paraId="42C0A8FF" w14:textId="7FCEA7D8" w:rsidR="001A7F97" w:rsidRDefault="001A7F97">
          <w:pPr>
            <w:pStyle w:val="TOC3"/>
            <w:tabs>
              <w:tab w:val="right" w:pos="9350"/>
            </w:tabs>
            <w:rPr>
              <w:noProof/>
            </w:rPr>
          </w:pPr>
          <w:hyperlink w:anchor="_Toc168907803" w:history="1">
            <w:r w:rsidRPr="00471F76">
              <w:rPr>
                <w:rStyle w:val="Hyperlink"/>
                <w:noProof/>
              </w:rPr>
              <w:t>Portfolio Performance Analysis</w:t>
            </w:r>
            <w:r>
              <w:rPr>
                <w:noProof/>
                <w:webHidden/>
              </w:rPr>
              <w:tab/>
            </w:r>
            <w:r>
              <w:rPr>
                <w:noProof/>
                <w:webHidden/>
              </w:rPr>
              <w:fldChar w:fldCharType="begin"/>
            </w:r>
            <w:r>
              <w:rPr>
                <w:noProof/>
                <w:webHidden/>
              </w:rPr>
              <w:instrText xml:space="preserve"> PAGEREF _Toc168907803 \h </w:instrText>
            </w:r>
            <w:r>
              <w:rPr>
                <w:noProof/>
                <w:webHidden/>
              </w:rPr>
            </w:r>
            <w:r>
              <w:rPr>
                <w:noProof/>
                <w:webHidden/>
              </w:rPr>
              <w:fldChar w:fldCharType="separate"/>
            </w:r>
            <w:r>
              <w:rPr>
                <w:noProof/>
                <w:webHidden/>
              </w:rPr>
              <w:t>20</w:t>
            </w:r>
            <w:r>
              <w:rPr>
                <w:noProof/>
                <w:webHidden/>
              </w:rPr>
              <w:fldChar w:fldCharType="end"/>
            </w:r>
          </w:hyperlink>
        </w:p>
        <w:p w14:paraId="74201840" w14:textId="34C7A869" w:rsidR="001A7F97" w:rsidRDefault="001A7F97">
          <w:pPr>
            <w:pStyle w:val="TOC2"/>
            <w:tabs>
              <w:tab w:val="right" w:pos="9350"/>
            </w:tabs>
            <w:rPr>
              <w:noProof/>
            </w:rPr>
          </w:pPr>
          <w:hyperlink w:anchor="_Toc168907804" w:history="1">
            <w:r w:rsidRPr="00471F76">
              <w:rPr>
                <w:rStyle w:val="Hyperlink"/>
                <w:noProof/>
              </w:rPr>
              <w:t>2. Stocks Selection</w:t>
            </w:r>
            <w:r>
              <w:rPr>
                <w:noProof/>
                <w:webHidden/>
              </w:rPr>
              <w:tab/>
            </w:r>
            <w:r>
              <w:rPr>
                <w:noProof/>
                <w:webHidden/>
              </w:rPr>
              <w:fldChar w:fldCharType="begin"/>
            </w:r>
            <w:r>
              <w:rPr>
                <w:noProof/>
                <w:webHidden/>
              </w:rPr>
              <w:instrText xml:space="preserve"> PAGEREF _Toc168907804 \h </w:instrText>
            </w:r>
            <w:r>
              <w:rPr>
                <w:noProof/>
                <w:webHidden/>
              </w:rPr>
            </w:r>
            <w:r>
              <w:rPr>
                <w:noProof/>
                <w:webHidden/>
              </w:rPr>
              <w:fldChar w:fldCharType="separate"/>
            </w:r>
            <w:r>
              <w:rPr>
                <w:noProof/>
                <w:webHidden/>
              </w:rPr>
              <w:t>21</w:t>
            </w:r>
            <w:r>
              <w:rPr>
                <w:noProof/>
                <w:webHidden/>
              </w:rPr>
              <w:fldChar w:fldCharType="end"/>
            </w:r>
          </w:hyperlink>
        </w:p>
        <w:p w14:paraId="0E4F3262" w14:textId="73019CD0" w:rsidR="001A7F97" w:rsidRDefault="001A7F97">
          <w:pPr>
            <w:pStyle w:val="TOC2"/>
            <w:tabs>
              <w:tab w:val="right" w:pos="9350"/>
            </w:tabs>
            <w:rPr>
              <w:noProof/>
            </w:rPr>
          </w:pPr>
          <w:hyperlink w:anchor="_Toc168907805" w:history="1">
            <w:r w:rsidRPr="00471F76">
              <w:rPr>
                <w:rStyle w:val="Hyperlink"/>
                <w:noProof/>
              </w:rPr>
              <w:t>3. Stocks Correlation</w:t>
            </w:r>
            <w:r>
              <w:rPr>
                <w:noProof/>
                <w:webHidden/>
              </w:rPr>
              <w:tab/>
            </w:r>
            <w:r>
              <w:rPr>
                <w:noProof/>
                <w:webHidden/>
              </w:rPr>
              <w:fldChar w:fldCharType="begin"/>
            </w:r>
            <w:r>
              <w:rPr>
                <w:noProof/>
                <w:webHidden/>
              </w:rPr>
              <w:instrText xml:space="preserve"> PAGEREF _Toc168907805 \h </w:instrText>
            </w:r>
            <w:r>
              <w:rPr>
                <w:noProof/>
                <w:webHidden/>
              </w:rPr>
            </w:r>
            <w:r>
              <w:rPr>
                <w:noProof/>
                <w:webHidden/>
              </w:rPr>
              <w:fldChar w:fldCharType="separate"/>
            </w:r>
            <w:r>
              <w:rPr>
                <w:noProof/>
                <w:webHidden/>
              </w:rPr>
              <w:t>23</w:t>
            </w:r>
            <w:r>
              <w:rPr>
                <w:noProof/>
                <w:webHidden/>
              </w:rPr>
              <w:fldChar w:fldCharType="end"/>
            </w:r>
          </w:hyperlink>
        </w:p>
        <w:p w14:paraId="0F4C9912" w14:textId="500381EE" w:rsidR="001A7F97" w:rsidRDefault="001A7F97">
          <w:pPr>
            <w:pStyle w:val="TOC2"/>
            <w:tabs>
              <w:tab w:val="right" w:pos="9350"/>
            </w:tabs>
            <w:rPr>
              <w:noProof/>
            </w:rPr>
          </w:pPr>
          <w:hyperlink w:anchor="_Toc168907806" w:history="1">
            <w:r w:rsidRPr="00471F76">
              <w:rPr>
                <w:rStyle w:val="Hyperlink"/>
                <w:noProof/>
              </w:rPr>
              <w:t>4. Portfolio Optimization (GMV, Optimal, Equal-weight)</w:t>
            </w:r>
            <w:r>
              <w:rPr>
                <w:noProof/>
                <w:webHidden/>
              </w:rPr>
              <w:tab/>
            </w:r>
            <w:r>
              <w:rPr>
                <w:noProof/>
                <w:webHidden/>
              </w:rPr>
              <w:fldChar w:fldCharType="begin"/>
            </w:r>
            <w:r>
              <w:rPr>
                <w:noProof/>
                <w:webHidden/>
              </w:rPr>
              <w:instrText xml:space="preserve"> PAGEREF _Toc168907806 \h </w:instrText>
            </w:r>
            <w:r>
              <w:rPr>
                <w:noProof/>
                <w:webHidden/>
              </w:rPr>
            </w:r>
            <w:r>
              <w:rPr>
                <w:noProof/>
                <w:webHidden/>
              </w:rPr>
              <w:fldChar w:fldCharType="separate"/>
            </w:r>
            <w:r>
              <w:rPr>
                <w:noProof/>
                <w:webHidden/>
              </w:rPr>
              <w:t>24</w:t>
            </w:r>
            <w:r>
              <w:rPr>
                <w:noProof/>
                <w:webHidden/>
              </w:rPr>
              <w:fldChar w:fldCharType="end"/>
            </w:r>
          </w:hyperlink>
        </w:p>
        <w:p w14:paraId="0898F540" w14:textId="0825A86E" w:rsidR="001A7F97" w:rsidRDefault="001A7F97">
          <w:pPr>
            <w:pStyle w:val="TOC3"/>
            <w:tabs>
              <w:tab w:val="right" w:pos="9350"/>
            </w:tabs>
            <w:rPr>
              <w:noProof/>
            </w:rPr>
          </w:pPr>
          <w:hyperlink w:anchor="_Toc168907807" w:history="1">
            <w:r w:rsidRPr="00471F76">
              <w:rPr>
                <w:rStyle w:val="Hyperlink"/>
                <w:noProof/>
              </w:rPr>
              <w:t>Equally-Weighted Portfolio</w:t>
            </w:r>
            <w:r>
              <w:rPr>
                <w:noProof/>
                <w:webHidden/>
              </w:rPr>
              <w:tab/>
            </w:r>
            <w:r>
              <w:rPr>
                <w:noProof/>
                <w:webHidden/>
              </w:rPr>
              <w:fldChar w:fldCharType="begin"/>
            </w:r>
            <w:r>
              <w:rPr>
                <w:noProof/>
                <w:webHidden/>
              </w:rPr>
              <w:instrText xml:space="preserve"> PAGEREF _Toc168907807 \h </w:instrText>
            </w:r>
            <w:r>
              <w:rPr>
                <w:noProof/>
                <w:webHidden/>
              </w:rPr>
            </w:r>
            <w:r>
              <w:rPr>
                <w:noProof/>
                <w:webHidden/>
              </w:rPr>
              <w:fldChar w:fldCharType="separate"/>
            </w:r>
            <w:r>
              <w:rPr>
                <w:noProof/>
                <w:webHidden/>
              </w:rPr>
              <w:t>25</w:t>
            </w:r>
            <w:r>
              <w:rPr>
                <w:noProof/>
                <w:webHidden/>
              </w:rPr>
              <w:fldChar w:fldCharType="end"/>
            </w:r>
          </w:hyperlink>
        </w:p>
        <w:p w14:paraId="6F054415" w14:textId="7DEDF839" w:rsidR="001A7F97" w:rsidRDefault="001A7F97">
          <w:pPr>
            <w:pStyle w:val="TOC3"/>
            <w:tabs>
              <w:tab w:val="right" w:pos="9350"/>
            </w:tabs>
            <w:rPr>
              <w:noProof/>
            </w:rPr>
          </w:pPr>
          <w:hyperlink w:anchor="_Toc168907808" w:history="1">
            <w:r w:rsidRPr="00471F76">
              <w:rPr>
                <w:rStyle w:val="Hyperlink"/>
                <w:noProof/>
              </w:rPr>
              <w:t>Global Minimum Variance Portfolio</w:t>
            </w:r>
            <w:r>
              <w:rPr>
                <w:noProof/>
                <w:webHidden/>
              </w:rPr>
              <w:tab/>
            </w:r>
            <w:r>
              <w:rPr>
                <w:noProof/>
                <w:webHidden/>
              </w:rPr>
              <w:fldChar w:fldCharType="begin"/>
            </w:r>
            <w:r>
              <w:rPr>
                <w:noProof/>
                <w:webHidden/>
              </w:rPr>
              <w:instrText xml:space="preserve"> PAGEREF _Toc168907808 \h </w:instrText>
            </w:r>
            <w:r>
              <w:rPr>
                <w:noProof/>
                <w:webHidden/>
              </w:rPr>
            </w:r>
            <w:r>
              <w:rPr>
                <w:noProof/>
                <w:webHidden/>
              </w:rPr>
              <w:fldChar w:fldCharType="separate"/>
            </w:r>
            <w:r>
              <w:rPr>
                <w:noProof/>
                <w:webHidden/>
              </w:rPr>
              <w:t>28</w:t>
            </w:r>
            <w:r>
              <w:rPr>
                <w:noProof/>
                <w:webHidden/>
              </w:rPr>
              <w:fldChar w:fldCharType="end"/>
            </w:r>
          </w:hyperlink>
        </w:p>
        <w:p w14:paraId="3811BD6F" w14:textId="46A3D3BE" w:rsidR="001A7F97" w:rsidRDefault="001A7F97">
          <w:pPr>
            <w:pStyle w:val="TOC3"/>
            <w:tabs>
              <w:tab w:val="right" w:pos="9350"/>
            </w:tabs>
            <w:rPr>
              <w:noProof/>
            </w:rPr>
          </w:pPr>
          <w:hyperlink w:anchor="_Toc168907809" w:history="1">
            <w:r w:rsidRPr="00471F76">
              <w:rPr>
                <w:rStyle w:val="Hyperlink"/>
                <w:noProof/>
              </w:rPr>
              <w:t>Optimal Portfolio</w:t>
            </w:r>
            <w:r>
              <w:rPr>
                <w:noProof/>
                <w:webHidden/>
              </w:rPr>
              <w:tab/>
            </w:r>
            <w:r>
              <w:rPr>
                <w:noProof/>
                <w:webHidden/>
              </w:rPr>
              <w:fldChar w:fldCharType="begin"/>
            </w:r>
            <w:r>
              <w:rPr>
                <w:noProof/>
                <w:webHidden/>
              </w:rPr>
              <w:instrText xml:space="preserve"> PAGEREF _Toc168907809 \h </w:instrText>
            </w:r>
            <w:r>
              <w:rPr>
                <w:noProof/>
                <w:webHidden/>
              </w:rPr>
            </w:r>
            <w:r>
              <w:rPr>
                <w:noProof/>
                <w:webHidden/>
              </w:rPr>
              <w:fldChar w:fldCharType="separate"/>
            </w:r>
            <w:r>
              <w:rPr>
                <w:noProof/>
                <w:webHidden/>
              </w:rPr>
              <w:t>32</w:t>
            </w:r>
            <w:r>
              <w:rPr>
                <w:noProof/>
                <w:webHidden/>
              </w:rPr>
              <w:fldChar w:fldCharType="end"/>
            </w:r>
          </w:hyperlink>
        </w:p>
        <w:p w14:paraId="1B9D2311" w14:textId="3BBBF4AD" w:rsidR="001A7F97" w:rsidRDefault="001A7F97">
          <w:pPr>
            <w:pStyle w:val="TOC2"/>
            <w:tabs>
              <w:tab w:val="right" w:pos="9350"/>
            </w:tabs>
            <w:rPr>
              <w:noProof/>
            </w:rPr>
          </w:pPr>
          <w:hyperlink w:anchor="_Toc168907810" w:history="1">
            <w:r w:rsidRPr="00471F76">
              <w:rPr>
                <w:rStyle w:val="Hyperlink"/>
                <w:noProof/>
              </w:rPr>
              <w:t>5. Performance Analysis (Key Performance Indicators)</w:t>
            </w:r>
            <w:r>
              <w:rPr>
                <w:noProof/>
                <w:webHidden/>
              </w:rPr>
              <w:tab/>
            </w:r>
            <w:r>
              <w:rPr>
                <w:noProof/>
                <w:webHidden/>
              </w:rPr>
              <w:fldChar w:fldCharType="begin"/>
            </w:r>
            <w:r>
              <w:rPr>
                <w:noProof/>
                <w:webHidden/>
              </w:rPr>
              <w:instrText xml:space="preserve"> PAGEREF _Toc168907810 \h </w:instrText>
            </w:r>
            <w:r>
              <w:rPr>
                <w:noProof/>
                <w:webHidden/>
              </w:rPr>
            </w:r>
            <w:r>
              <w:rPr>
                <w:noProof/>
                <w:webHidden/>
              </w:rPr>
              <w:fldChar w:fldCharType="separate"/>
            </w:r>
            <w:r>
              <w:rPr>
                <w:noProof/>
                <w:webHidden/>
              </w:rPr>
              <w:t>36</w:t>
            </w:r>
            <w:r>
              <w:rPr>
                <w:noProof/>
                <w:webHidden/>
              </w:rPr>
              <w:fldChar w:fldCharType="end"/>
            </w:r>
          </w:hyperlink>
        </w:p>
        <w:p w14:paraId="7657118C" w14:textId="76F8DF4F" w:rsidR="001A7F97" w:rsidRDefault="001A7F97">
          <w:pPr>
            <w:pStyle w:val="TOC1"/>
            <w:tabs>
              <w:tab w:val="right" w:pos="9350"/>
            </w:tabs>
            <w:rPr>
              <w:noProof/>
            </w:rPr>
          </w:pPr>
          <w:hyperlink w:anchor="_Toc168907811" w:history="1">
            <w:r w:rsidRPr="00471F76">
              <w:rPr>
                <w:rStyle w:val="Hyperlink"/>
                <w:noProof/>
              </w:rPr>
              <w:t>Conclusion</w:t>
            </w:r>
            <w:r>
              <w:rPr>
                <w:noProof/>
                <w:webHidden/>
              </w:rPr>
              <w:tab/>
            </w:r>
            <w:r>
              <w:rPr>
                <w:noProof/>
                <w:webHidden/>
              </w:rPr>
              <w:fldChar w:fldCharType="begin"/>
            </w:r>
            <w:r>
              <w:rPr>
                <w:noProof/>
                <w:webHidden/>
              </w:rPr>
              <w:instrText xml:space="preserve"> PAGEREF _Toc168907811 \h </w:instrText>
            </w:r>
            <w:r>
              <w:rPr>
                <w:noProof/>
                <w:webHidden/>
              </w:rPr>
            </w:r>
            <w:r>
              <w:rPr>
                <w:noProof/>
                <w:webHidden/>
              </w:rPr>
              <w:fldChar w:fldCharType="separate"/>
            </w:r>
            <w:r>
              <w:rPr>
                <w:noProof/>
                <w:webHidden/>
              </w:rPr>
              <w:t>42</w:t>
            </w:r>
            <w:r>
              <w:rPr>
                <w:noProof/>
                <w:webHidden/>
              </w:rPr>
              <w:fldChar w:fldCharType="end"/>
            </w:r>
          </w:hyperlink>
        </w:p>
        <w:p w14:paraId="4963F25C" w14:textId="054927EA" w:rsidR="0006702C" w:rsidRDefault="0006702C" w:rsidP="0006702C">
          <w:pPr>
            <w:widowControl w:val="0"/>
            <w:tabs>
              <w:tab w:val="right" w:pos="12000"/>
            </w:tabs>
            <w:spacing w:before="60" w:after="100"/>
            <w:rPr>
              <w:b/>
              <w:color w:val="000000"/>
            </w:rPr>
          </w:pPr>
          <w:r>
            <w:lastRenderedPageBreak/>
            <w:fldChar w:fldCharType="end"/>
          </w:r>
        </w:p>
      </w:sdtContent>
    </w:sdt>
    <w:p w14:paraId="1A5589AB" w14:textId="77777777" w:rsidR="0006702C" w:rsidRDefault="0006702C" w:rsidP="0006702C">
      <w:pPr>
        <w:spacing w:after="100"/>
        <w:jc w:val="both"/>
        <w:rPr>
          <w:rFonts w:ascii="Cambria" w:eastAsia="Cambria" w:hAnsi="Cambria" w:cs="Cambria"/>
          <w:szCs w:val="24"/>
        </w:rPr>
      </w:pPr>
      <w:r>
        <w:br w:type="page"/>
      </w:r>
    </w:p>
    <w:p w14:paraId="5E8F1B38" w14:textId="77777777" w:rsidR="0006702C" w:rsidRDefault="0006702C" w:rsidP="0006702C">
      <w:pPr>
        <w:pStyle w:val="Heading1"/>
        <w:spacing w:after="100"/>
        <w:rPr>
          <w:rFonts w:asciiTheme="minorHAnsi" w:eastAsia="Arial" w:hAnsiTheme="minorHAnsi" w:cs="Times New Roman"/>
        </w:rPr>
      </w:pPr>
      <w:bookmarkStart w:id="4" w:name="_Toc168907791"/>
      <w:r>
        <w:rPr>
          <w:rFonts w:eastAsia="Arial"/>
        </w:rPr>
        <w:lastRenderedPageBreak/>
        <w:t xml:space="preserve">Chapter 1: </w:t>
      </w:r>
      <w:bookmarkStart w:id="5" w:name="_Hlk149497101"/>
      <w:r>
        <w:rPr>
          <w:rFonts w:eastAsia="Arial"/>
        </w:rPr>
        <w:t xml:space="preserve">Vietcombank Fund Management Company Limited </w:t>
      </w:r>
      <w:bookmarkEnd w:id="5"/>
      <w:r>
        <w:rPr>
          <w:rFonts w:eastAsia="Arial"/>
        </w:rPr>
        <w:t>(VCBF)</w:t>
      </w:r>
      <w:bookmarkEnd w:id="4"/>
    </w:p>
    <w:p w14:paraId="331412BB"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Established on December 2, 2005, under license number 06/UBCK-GPHĐQLQ issued by the State Securities Commission, Vietcombank Securities Investment Fund Management Company Limited ("VCBF") is a joint venture between the Joint Stock Commercial Bank for Foreign Trade of Vietnam ("Vietcombank") and the multinational investment group Franklin Templeton Investments ("FTI"). Franklin Templeton Investments is a globally renowned financial investment group and a pioneer in investing in emerging markets. Together with Vietcombank, a leading financial institution in Vietnam, they formed this venture.</w:t>
      </w:r>
    </w:p>
    <w:p w14:paraId="241F4C2E"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With 16 years of operations in Vietnam, VCBF has effectively managed assets for many major Vietnamese and foreign conglomerates. As one of the best-performing funds in Vietnam, VCBF manages total assets of over 190.3 million US dollars as of March 31, 2022.</w:t>
      </w:r>
    </w:p>
    <w:p w14:paraId="5FBA35AF" w14:textId="77777777" w:rsidR="0006702C" w:rsidRDefault="0006702C" w:rsidP="0006702C">
      <w:pPr>
        <w:pStyle w:val="Heading2"/>
        <w:spacing w:after="100"/>
        <w:rPr>
          <w:rFonts w:ascii="Arial" w:eastAsia="Cambria" w:hAnsi="Arial" w:cs="Cambria"/>
          <w:szCs w:val="24"/>
        </w:rPr>
      </w:pPr>
      <w:bookmarkStart w:id="6" w:name="_Toc168907792"/>
      <w:r>
        <w:t>1. Development History</w:t>
      </w:r>
      <w:bookmarkEnd w:id="6"/>
    </w:p>
    <w:p w14:paraId="05AA6487" w14:textId="77777777" w:rsidR="0006702C" w:rsidRDefault="0006702C" w:rsidP="0006702C">
      <w:pPr>
        <w:spacing w:after="100"/>
        <w:jc w:val="both"/>
        <w:rPr>
          <w:rFonts w:ascii="Cambria" w:eastAsia="Cambria" w:hAnsi="Cambria" w:cs="Cambria"/>
          <w:szCs w:val="24"/>
        </w:rPr>
      </w:pPr>
    </w:p>
    <w:p w14:paraId="74DF3C5F" w14:textId="6CB3D2A2" w:rsidR="0006702C" w:rsidRDefault="0006702C" w:rsidP="0006702C">
      <w:pPr>
        <w:spacing w:after="100"/>
        <w:ind w:left="-566"/>
        <w:jc w:val="center"/>
        <w:rPr>
          <w:rFonts w:ascii="Cambria" w:eastAsia="Cambria" w:hAnsi="Cambria" w:cs="Cambria"/>
          <w:szCs w:val="24"/>
        </w:rPr>
      </w:pPr>
      <w:r>
        <w:rPr>
          <w:rFonts w:ascii="Cambria" w:eastAsia="Cambria" w:hAnsi="Cambria" w:cs="Cambria"/>
          <w:noProof/>
          <w:szCs w:val="24"/>
        </w:rPr>
        <w:drawing>
          <wp:inline distT="0" distB="0" distL="0" distR="0" wp14:anchorId="616B8B40" wp14:editId="5056442B">
            <wp:extent cx="5943600" cy="3137535"/>
            <wp:effectExtent l="0" t="0" r="0" b="0"/>
            <wp:docPr id="520089036" name="Picture 21" descr="Ảnh có chứa ảnh chụp màn hình, màu đen, văn bản, hà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89036" name="Picture 21" descr="Ảnh có chứa ảnh chụp màn hình, màu đen, văn bản, hàng&#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t="9731"/>
                    <a:stretch>
                      <a:fillRect/>
                    </a:stretch>
                  </pic:blipFill>
                  <pic:spPr bwMode="auto">
                    <a:xfrm>
                      <a:off x="0" y="0"/>
                      <a:ext cx="5943600" cy="3137535"/>
                    </a:xfrm>
                    <a:prstGeom prst="rect">
                      <a:avLst/>
                    </a:prstGeom>
                    <a:noFill/>
                    <a:ln>
                      <a:noFill/>
                    </a:ln>
                  </pic:spPr>
                </pic:pic>
              </a:graphicData>
            </a:graphic>
          </wp:inline>
        </w:drawing>
      </w:r>
    </w:p>
    <w:p w14:paraId="331C0498" w14:textId="77777777" w:rsidR="0006702C" w:rsidRDefault="0006702C" w:rsidP="0006702C">
      <w:pPr>
        <w:spacing w:after="100"/>
        <w:ind w:left="-566"/>
        <w:jc w:val="center"/>
        <w:rPr>
          <w:rFonts w:ascii="Cambria" w:eastAsia="Cambria" w:hAnsi="Cambria" w:cs="Cambria"/>
          <w:b/>
          <w:bCs/>
          <w:szCs w:val="24"/>
          <w:lang w:val="vi-VN"/>
        </w:rPr>
      </w:pPr>
      <w:r>
        <w:rPr>
          <w:rFonts w:ascii="Cambria" w:eastAsia="Cambria" w:hAnsi="Cambria" w:cs="Cambria"/>
          <w:b/>
          <w:bCs/>
          <w:szCs w:val="24"/>
        </w:rPr>
        <w:t>Figure</w:t>
      </w:r>
      <w:r>
        <w:rPr>
          <w:rFonts w:ascii="Cambria" w:eastAsia="Cambria" w:hAnsi="Cambria" w:cs="Cambria"/>
          <w:b/>
          <w:bCs/>
          <w:szCs w:val="24"/>
          <w:lang w:val="vi-VN"/>
        </w:rPr>
        <w:t xml:space="preserve"> 1: </w:t>
      </w:r>
      <w:r>
        <w:rPr>
          <w:rFonts w:ascii="Cambria" w:eastAsia="Cambria" w:hAnsi="Cambria" w:cs="Cambria"/>
          <w:b/>
          <w:bCs/>
          <w:szCs w:val="24"/>
        </w:rPr>
        <w:t>VCBF</w:t>
      </w:r>
      <w:r>
        <w:rPr>
          <w:rFonts w:ascii="Cambria" w:eastAsia="Cambria" w:hAnsi="Cambria" w:cs="Cambria"/>
          <w:b/>
          <w:bCs/>
          <w:szCs w:val="24"/>
          <w:lang w:val="vi-VN"/>
        </w:rPr>
        <w:t xml:space="preserve"> </w:t>
      </w:r>
      <w:r>
        <w:rPr>
          <w:rFonts w:ascii="Cambria" w:eastAsia="Cambria" w:hAnsi="Cambria" w:cs="Cambria"/>
          <w:b/>
          <w:bCs/>
          <w:szCs w:val="24"/>
        </w:rPr>
        <w:t>M</w:t>
      </w:r>
      <w:r>
        <w:rPr>
          <w:rFonts w:ascii="Cambria" w:eastAsia="Cambria" w:hAnsi="Cambria" w:cs="Cambria"/>
          <w:b/>
          <w:bCs/>
          <w:szCs w:val="24"/>
          <w:lang w:val="vi-VN"/>
        </w:rPr>
        <w:t>ilestones</w:t>
      </w:r>
    </w:p>
    <w:p w14:paraId="54E90D44"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lastRenderedPageBreak/>
        <w:t>From its inception, Vietcombank Securities Investment Fund Management Company Limited, popularly known as VCBF, has charted a stellar trajectory in the investment fund management industry in Vietnam. Founded in December 2005 as a synergistic alliance between the Joint Stock Commercial Bank for Foreign Trade of Vietnam (Vietcombank) and Viet Capital Holdings, the inception of VCBF marked the birth of a new era in Vietnam's financial sector. The headquarters of this formidable joint venture was established in Hanoi.</w:t>
      </w:r>
    </w:p>
    <w:p w14:paraId="0BAEBF93"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A year into its operations, in August 2006, VCBF broadened its operational horizon by setting up the Southern Branch Office, catering to a diverse clientele, and strengthening its foothold in the Vietnamese market. Merely two months later, in October 2006, VCBF achieved a groundbreaking feat by becoming the first domestic fund to garner the nod of approval from the State Securities Commission to manage mobilized capital, showcasing its credibility and competence.</w:t>
      </w:r>
    </w:p>
    <w:p w14:paraId="49F82406"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2007 saw further expansion in its operations, with the establishment of VPF2 in January and VPF3 in September. This period of expansion and growth saw a pivotal moment in February 2008 when the global investment juggernaut Franklin Templeton Investments recognized the potential of VCBF and acquired shares of Viet Capital Holdings.</w:t>
      </w:r>
    </w:p>
    <w:p w14:paraId="4F8AC7CE"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In August 2009, understanding the need for specialized expertise in asset management, VCBF instituted the Asset Management Department, which would later become instrumental in launching and managing numerous investment funds.</w:t>
      </w:r>
    </w:p>
    <w:p w14:paraId="1A200A92"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By December 2013, VCBF took a significant leap by receiving the registration certificate for its first Open Fund - the VCBF Strategic Balanced Investment Fund. This was closely followed by the establishment of the VCBF Leading Equity Investment Fund in August 2014.</w:t>
      </w:r>
    </w:p>
    <w:p w14:paraId="5A42499F"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With an eye on technological advancements and to cater to the evolving needs of its clientele, VCBF introduced "VCBF ETRADE" in February 2019, streamlining its operations and rendering them more accessible to its customers. Later that year, in August 2019, VCBF further diversified its portfolio by obtaining a registration certificate for the VCBF Bond Investment Fund.</w:t>
      </w:r>
    </w:p>
    <w:p w14:paraId="3C0F36A6"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 xml:space="preserve">The company's dynamism and commitment to expanding its range of offerings continued to be evident as recently as December 2021, when it successfully received the establishment </w:t>
      </w:r>
      <w:r>
        <w:rPr>
          <w:rFonts w:ascii="Cambria" w:eastAsia="Cambria" w:hAnsi="Cambria" w:cs="Cambria"/>
          <w:szCs w:val="24"/>
        </w:rPr>
        <w:lastRenderedPageBreak/>
        <w:t>certificate for the VCBF Growth Equity Investment Fund (VCBF-MGF). The year 2022 began with a nod of recognition from the authorities when VCBF received the Certificate of Eligibility for the business of Voluntary Supplementary Pension Fund Management Services in March. Furthermore, understanding the significance of mobility and convenience in today's fast-paced world, VCBF launched its Mobile application in December 2022, ensuring that its services are just a tap away from its customers.</w:t>
      </w:r>
    </w:p>
    <w:p w14:paraId="2EB048A3" w14:textId="77777777" w:rsidR="0006702C" w:rsidRDefault="0006702C" w:rsidP="0006702C">
      <w:pPr>
        <w:pStyle w:val="Heading2"/>
        <w:spacing w:after="100"/>
        <w:rPr>
          <w:rFonts w:ascii="Arial" w:eastAsia="Cambria" w:hAnsi="Arial" w:cs="Cambria"/>
          <w:szCs w:val="24"/>
        </w:rPr>
      </w:pPr>
      <w:bookmarkStart w:id="7" w:name="_Toc168907793"/>
      <w:r>
        <w:t>2. Subsidiary Funds</w:t>
      </w:r>
      <w:bookmarkEnd w:id="7"/>
    </w:p>
    <w:p w14:paraId="3BDF4FE2"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VCBF offers numerous favourable opportunities for investing in the Vietnamese market. This company manages four open funds: VCBF Strategic Balanced Investment Fund, VCBF Top Equity Investment Fund, VCBF Bond Investment Fund, and VCBF Growth Equity Investment Fund.</w:t>
      </w:r>
    </w:p>
    <w:p w14:paraId="01087390" w14:textId="77777777" w:rsidR="0006702C" w:rsidRDefault="0006702C" w:rsidP="0006702C">
      <w:pPr>
        <w:numPr>
          <w:ilvl w:val="0"/>
          <w:numId w:val="1"/>
        </w:numPr>
        <w:spacing w:after="100"/>
        <w:jc w:val="both"/>
        <w:rPr>
          <w:rFonts w:ascii="Cambria" w:eastAsia="Cambria" w:hAnsi="Cambria" w:cs="Cambria"/>
          <w:szCs w:val="24"/>
        </w:rPr>
      </w:pPr>
      <w:r>
        <w:rPr>
          <w:rFonts w:ascii="Cambria" w:eastAsia="Cambria" w:hAnsi="Cambria" w:cs="Cambria"/>
          <w:szCs w:val="24"/>
        </w:rPr>
        <w:t>VCBF-BCF: VCBF Strategic Balanced Fund ("VCBF-BCF fund") flexibly allocates assets according to a defensive or growth investment strategy depending on available investment opportunities at different times. Under normal market conditions, this fund will invest 50% of net asset value (NAV) in stocks and 50% in fixed-income assets with good credit quality.</w:t>
      </w:r>
    </w:p>
    <w:p w14:paraId="3C46025A" w14:textId="77777777" w:rsidR="0006702C" w:rsidRDefault="0006702C" w:rsidP="0006702C">
      <w:pPr>
        <w:numPr>
          <w:ilvl w:val="0"/>
          <w:numId w:val="1"/>
        </w:numPr>
        <w:spacing w:after="100"/>
        <w:jc w:val="both"/>
        <w:rPr>
          <w:rFonts w:ascii="Cambria" w:eastAsia="Cambria" w:hAnsi="Cambria" w:cs="Cambria"/>
          <w:szCs w:val="24"/>
        </w:rPr>
      </w:pPr>
      <w:r>
        <w:rPr>
          <w:rFonts w:ascii="Cambria" w:eastAsia="Cambria" w:hAnsi="Cambria" w:cs="Cambria"/>
          <w:szCs w:val="24"/>
        </w:rPr>
        <w:t>VCBF-BCF: VCBF Premier Equity Fund (“VCBF-BCF fund”) invests up to 100% of net asset value (NAV) in listed stocks, mainly in stocks with large market capitalization and good liquidity.</w:t>
      </w:r>
    </w:p>
    <w:p w14:paraId="64D50286" w14:textId="77777777" w:rsidR="0006702C" w:rsidRDefault="0006702C" w:rsidP="0006702C">
      <w:pPr>
        <w:numPr>
          <w:ilvl w:val="0"/>
          <w:numId w:val="1"/>
        </w:numPr>
        <w:spacing w:after="100"/>
        <w:jc w:val="both"/>
        <w:rPr>
          <w:rFonts w:ascii="Cambria" w:eastAsia="Cambria" w:hAnsi="Cambria" w:cs="Cambria"/>
          <w:szCs w:val="24"/>
        </w:rPr>
      </w:pPr>
      <w:r>
        <w:rPr>
          <w:rFonts w:ascii="Cambria" w:eastAsia="Cambria" w:hAnsi="Cambria" w:cs="Cambria"/>
          <w:szCs w:val="24"/>
        </w:rPr>
        <w:t>VCBF-MGF: Assets of VCBF Growth Stock Fund (VCBF-MGF) are invested up to 100% in stocks of companies with medium-capitalization and high growth potential.</w:t>
      </w:r>
    </w:p>
    <w:p w14:paraId="5ACEAD17" w14:textId="77777777" w:rsidR="0006702C" w:rsidRDefault="0006702C" w:rsidP="0006702C">
      <w:pPr>
        <w:numPr>
          <w:ilvl w:val="0"/>
          <w:numId w:val="1"/>
        </w:numPr>
        <w:spacing w:after="100"/>
        <w:jc w:val="both"/>
        <w:rPr>
          <w:rFonts w:ascii="Cambria" w:eastAsia="Cambria" w:hAnsi="Cambria" w:cs="Cambria"/>
          <w:szCs w:val="24"/>
        </w:rPr>
      </w:pPr>
      <w:r>
        <w:rPr>
          <w:rFonts w:ascii="Cambria" w:eastAsia="Cambria" w:hAnsi="Cambria" w:cs="Cambria"/>
          <w:szCs w:val="24"/>
        </w:rPr>
        <w:t>VCBF-FIF: VCBF Bond Investment Fund ("VCBF-FIF Fund") is an open-end fund with 100% of the Fund's assets invested in bonds of good credit quality.</w:t>
      </w:r>
    </w:p>
    <w:p w14:paraId="45D32019"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 xml:space="preserve">To be able to analyze in detail and thoroughly, we decided to focus on only one investment fund under VBCF instead of going into all four funds. In this research, we decided to choose the VCBF-BCF fund. The next part will discuss this fund’s detailed information and investment strategy. </w:t>
      </w:r>
    </w:p>
    <w:p w14:paraId="4F8349A1" w14:textId="77777777" w:rsidR="0006702C" w:rsidRDefault="0006702C" w:rsidP="0006702C">
      <w:pPr>
        <w:pStyle w:val="Heading1"/>
        <w:spacing w:after="100"/>
        <w:rPr>
          <w:rFonts w:asciiTheme="minorHAnsi" w:eastAsia="Arial" w:hAnsiTheme="minorHAnsi" w:cs="Times New Roman"/>
        </w:rPr>
      </w:pPr>
      <w:bookmarkStart w:id="8" w:name="_Toc168907794"/>
      <w:r>
        <w:rPr>
          <w:rFonts w:eastAsia="Arial"/>
        </w:rPr>
        <w:lastRenderedPageBreak/>
        <w:t>Chapter 2: VCBF-BCF Fund</w:t>
      </w:r>
      <w:bookmarkEnd w:id="8"/>
    </w:p>
    <w:p w14:paraId="7AAC8A90" w14:textId="77777777" w:rsidR="0006702C" w:rsidRDefault="0006702C" w:rsidP="0006702C">
      <w:pPr>
        <w:pStyle w:val="Heading2"/>
        <w:spacing w:after="100"/>
        <w:rPr>
          <w:rFonts w:eastAsia="Cambria"/>
        </w:rPr>
      </w:pPr>
      <w:bookmarkStart w:id="9" w:name="_Toc168907795"/>
      <w:r>
        <w:t>1. Basic Information</w:t>
      </w:r>
      <w:bookmarkEnd w:id="9"/>
    </w:p>
    <w:tbl>
      <w:tblPr>
        <w:tblStyle w:val="6"/>
        <w:tblW w:w="5000" w:type="pct"/>
        <w:tblInd w:w="0" w:type="dxa"/>
        <w:tblBorders>
          <w:insideH w:val="nil"/>
          <w:insideV w:val="nil"/>
        </w:tblBorders>
        <w:tblLook w:val="0600" w:firstRow="0" w:lastRow="0" w:firstColumn="0" w:lastColumn="0" w:noHBand="1" w:noVBand="1"/>
      </w:tblPr>
      <w:tblGrid>
        <w:gridCol w:w="4810"/>
        <w:gridCol w:w="4540"/>
      </w:tblGrid>
      <w:tr w:rsidR="0006702C" w14:paraId="4233956D" w14:textId="77777777" w:rsidTr="0006702C">
        <w:trPr>
          <w:trHeight w:val="315"/>
        </w:trPr>
        <w:tc>
          <w:tcPr>
            <w:tcW w:w="5000" w:type="pct"/>
            <w:gridSpan w:val="2"/>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484CB7CA" w14:textId="77777777" w:rsidR="0006702C" w:rsidRDefault="0006702C">
            <w:pPr>
              <w:widowControl w:val="0"/>
              <w:spacing w:after="100"/>
              <w:jc w:val="center"/>
              <w:rPr>
                <w:rFonts w:ascii="Cambria" w:eastAsia="Cambria" w:hAnsi="Cambria" w:cs="Cambria"/>
                <w:color w:val="010101"/>
                <w:szCs w:val="24"/>
              </w:rPr>
            </w:pPr>
            <w:r>
              <w:rPr>
                <w:rFonts w:ascii="Cambria" w:eastAsia="Cambria" w:hAnsi="Cambria" w:cs="Cambria"/>
                <w:color w:val="010101"/>
                <w:szCs w:val="24"/>
              </w:rPr>
              <w:t>Basic Information of VCBF-BCF</w:t>
            </w:r>
          </w:p>
        </w:tc>
      </w:tr>
      <w:tr w:rsidR="0006702C" w14:paraId="6792B9BC" w14:textId="77777777" w:rsidTr="0006702C">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4FF856A8" w14:textId="77777777" w:rsidR="0006702C" w:rsidRDefault="0006702C">
            <w:pPr>
              <w:widowControl w:val="0"/>
              <w:spacing w:after="100"/>
              <w:jc w:val="both"/>
              <w:rPr>
                <w:rFonts w:ascii="Cambria" w:eastAsia="Cambria" w:hAnsi="Cambria" w:cs="Cambria"/>
                <w:szCs w:val="24"/>
              </w:rPr>
            </w:pPr>
            <w:r>
              <w:rPr>
                <w:rFonts w:ascii="Cambria" w:eastAsia="Cambria" w:hAnsi="Cambria" w:cs="Cambria"/>
                <w:color w:val="010101"/>
                <w:szCs w:val="24"/>
              </w:rPr>
              <w:t>Abbreviation</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5213FA1" w14:textId="77777777" w:rsidR="0006702C" w:rsidRDefault="0006702C">
            <w:pPr>
              <w:widowControl w:val="0"/>
              <w:spacing w:after="100"/>
              <w:jc w:val="right"/>
              <w:rPr>
                <w:rFonts w:ascii="Cambria" w:eastAsia="Cambria" w:hAnsi="Cambria" w:cs="Cambria"/>
                <w:szCs w:val="24"/>
              </w:rPr>
            </w:pPr>
            <w:r>
              <w:rPr>
                <w:rFonts w:ascii="Cambria" w:eastAsia="Cambria" w:hAnsi="Cambria" w:cs="Cambria"/>
                <w:color w:val="010101"/>
                <w:szCs w:val="24"/>
              </w:rPr>
              <w:t>VCBF-BCF</w:t>
            </w:r>
          </w:p>
        </w:tc>
      </w:tr>
      <w:tr w:rsidR="0006702C" w14:paraId="56985DEE" w14:textId="77777777" w:rsidTr="0006702C">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2EC4E9F" w14:textId="77777777" w:rsidR="0006702C" w:rsidRDefault="0006702C">
            <w:pPr>
              <w:widowControl w:val="0"/>
              <w:spacing w:after="100"/>
              <w:jc w:val="both"/>
              <w:rPr>
                <w:rFonts w:ascii="Cambria" w:eastAsia="Cambria" w:hAnsi="Cambria" w:cs="Cambria"/>
                <w:szCs w:val="24"/>
              </w:rPr>
            </w:pPr>
            <w:r>
              <w:rPr>
                <w:rFonts w:ascii="Cambria" w:eastAsia="Cambria" w:hAnsi="Cambria" w:cs="Cambria"/>
                <w:color w:val="010101"/>
                <w:szCs w:val="24"/>
              </w:rPr>
              <w:t>Date of establishment</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3E90DDC3" w14:textId="77777777" w:rsidR="0006702C" w:rsidRDefault="0006702C">
            <w:pPr>
              <w:widowControl w:val="0"/>
              <w:spacing w:after="100"/>
              <w:jc w:val="right"/>
              <w:rPr>
                <w:rFonts w:ascii="Cambria" w:eastAsia="Cambria" w:hAnsi="Cambria" w:cs="Cambria"/>
                <w:szCs w:val="24"/>
              </w:rPr>
            </w:pPr>
            <w:r>
              <w:rPr>
                <w:rFonts w:ascii="Cambria" w:eastAsia="Cambria" w:hAnsi="Cambria" w:cs="Cambria"/>
                <w:color w:val="010101"/>
                <w:szCs w:val="24"/>
              </w:rPr>
              <w:t>22/08/2013</w:t>
            </w:r>
          </w:p>
        </w:tc>
      </w:tr>
      <w:tr w:rsidR="0006702C" w14:paraId="68935883" w14:textId="77777777" w:rsidTr="0006702C">
        <w:trPr>
          <w:trHeight w:val="55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E584702" w14:textId="77777777" w:rsidR="0006702C" w:rsidRDefault="0006702C">
            <w:pPr>
              <w:widowControl w:val="0"/>
              <w:spacing w:after="100"/>
              <w:jc w:val="both"/>
              <w:rPr>
                <w:rFonts w:ascii="Cambria" w:eastAsia="Cambria" w:hAnsi="Cambria" w:cs="Cambria"/>
                <w:szCs w:val="24"/>
              </w:rPr>
            </w:pPr>
            <w:r>
              <w:rPr>
                <w:rFonts w:ascii="Cambria" w:eastAsia="Cambria" w:hAnsi="Cambria" w:cs="Cambria"/>
                <w:color w:val="010101"/>
                <w:szCs w:val="24"/>
              </w:rPr>
              <w:t>License no</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BA8DF83" w14:textId="77777777" w:rsidR="0006702C" w:rsidRDefault="0006702C">
            <w:pPr>
              <w:widowControl w:val="0"/>
              <w:spacing w:after="100"/>
              <w:jc w:val="right"/>
              <w:rPr>
                <w:rFonts w:ascii="Cambria" w:eastAsia="Cambria" w:hAnsi="Cambria" w:cs="Cambria"/>
                <w:szCs w:val="24"/>
              </w:rPr>
            </w:pPr>
            <w:r>
              <w:rPr>
                <w:rFonts w:ascii="Cambria" w:eastAsia="Cambria" w:hAnsi="Cambria" w:cs="Cambria"/>
                <w:color w:val="010101"/>
                <w:szCs w:val="24"/>
              </w:rPr>
              <w:t>13/GCN-UBCK</w:t>
            </w:r>
          </w:p>
        </w:tc>
      </w:tr>
      <w:tr w:rsidR="0006702C" w14:paraId="73A81D39" w14:textId="77777777" w:rsidTr="0006702C">
        <w:trPr>
          <w:trHeight w:val="79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77B79512" w14:textId="77777777" w:rsidR="0006702C" w:rsidRDefault="0006702C">
            <w:pPr>
              <w:widowControl w:val="0"/>
              <w:spacing w:after="100"/>
              <w:jc w:val="both"/>
              <w:rPr>
                <w:rFonts w:ascii="Cambria" w:eastAsia="Cambria" w:hAnsi="Cambria" w:cs="Cambria"/>
                <w:szCs w:val="24"/>
              </w:rPr>
            </w:pPr>
            <w:r>
              <w:rPr>
                <w:rFonts w:ascii="Cambria" w:eastAsia="Cambria" w:hAnsi="Cambria" w:cs="Cambria"/>
                <w:color w:val="010101"/>
                <w:szCs w:val="24"/>
              </w:rPr>
              <w:t>Supervisory bank</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58DEBA90" w14:textId="77777777" w:rsidR="0006702C" w:rsidRDefault="0006702C">
            <w:pPr>
              <w:widowControl w:val="0"/>
              <w:spacing w:after="100"/>
              <w:jc w:val="right"/>
              <w:rPr>
                <w:rFonts w:ascii="Cambria" w:eastAsia="Cambria" w:hAnsi="Cambria" w:cs="Cambria"/>
                <w:szCs w:val="24"/>
              </w:rPr>
            </w:pPr>
            <w:r>
              <w:rPr>
                <w:rFonts w:ascii="Cambria" w:eastAsia="Cambria" w:hAnsi="Cambria" w:cs="Cambria"/>
                <w:color w:val="010101"/>
                <w:szCs w:val="24"/>
              </w:rPr>
              <w:t>Standard Chartered Bank</w:t>
            </w:r>
          </w:p>
        </w:tc>
      </w:tr>
      <w:tr w:rsidR="0006702C" w14:paraId="4C6802C7" w14:textId="77777777" w:rsidTr="0006702C">
        <w:trPr>
          <w:trHeight w:val="55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1375F7AA" w14:textId="77777777" w:rsidR="0006702C" w:rsidRDefault="0006702C">
            <w:pPr>
              <w:widowControl w:val="0"/>
              <w:spacing w:after="100"/>
              <w:jc w:val="both"/>
              <w:rPr>
                <w:rFonts w:ascii="Cambria" w:eastAsia="Cambria" w:hAnsi="Cambria" w:cs="Cambria"/>
                <w:szCs w:val="24"/>
              </w:rPr>
            </w:pPr>
            <w:r>
              <w:rPr>
                <w:rFonts w:ascii="Cambria" w:eastAsia="Cambria" w:hAnsi="Cambria" w:cs="Cambria"/>
                <w:color w:val="010101"/>
                <w:szCs w:val="24"/>
              </w:rPr>
              <w:t>Audit</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FAAF439" w14:textId="77777777" w:rsidR="0006702C" w:rsidRDefault="0006702C">
            <w:pPr>
              <w:widowControl w:val="0"/>
              <w:spacing w:after="100"/>
              <w:jc w:val="right"/>
              <w:rPr>
                <w:rFonts w:ascii="Cambria" w:eastAsia="Cambria" w:hAnsi="Cambria" w:cs="Cambria"/>
                <w:szCs w:val="24"/>
              </w:rPr>
            </w:pPr>
            <w:r>
              <w:rPr>
                <w:rFonts w:ascii="Cambria" w:eastAsia="Cambria" w:hAnsi="Cambria" w:cs="Cambria"/>
                <w:color w:val="010101"/>
                <w:szCs w:val="24"/>
              </w:rPr>
              <w:t>Ernst &amp; Young</w:t>
            </w:r>
          </w:p>
        </w:tc>
      </w:tr>
      <w:tr w:rsidR="0006702C" w14:paraId="3852A6B9" w14:textId="77777777" w:rsidTr="0006702C">
        <w:trPr>
          <w:trHeight w:val="79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4D3F5E7D" w14:textId="77777777" w:rsidR="0006702C" w:rsidRDefault="0006702C">
            <w:pPr>
              <w:widowControl w:val="0"/>
              <w:spacing w:after="100"/>
              <w:jc w:val="both"/>
              <w:rPr>
                <w:rFonts w:ascii="Cambria" w:eastAsia="Cambria" w:hAnsi="Cambria" w:cs="Cambria"/>
                <w:szCs w:val="24"/>
              </w:rPr>
            </w:pPr>
            <w:r>
              <w:rPr>
                <w:rFonts w:ascii="Cambria" w:eastAsia="Cambria" w:hAnsi="Cambria" w:cs="Cambria"/>
                <w:color w:val="010101"/>
                <w:szCs w:val="24"/>
              </w:rPr>
              <w:t>Distributor</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1318C538" w14:textId="77777777" w:rsidR="0006702C" w:rsidRDefault="0006702C">
            <w:pPr>
              <w:widowControl w:val="0"/>
              <w:spacing w:after="100"/>
              <w:jc w:val="right"/>
              <w:rPr>
                <w:rFonts w:ascii="Cambria" w:eastAsia="Cambria" w:hAnsi="Cambria" w:cs="Cambria"/>
                <w:szCs w:val="24"/>
              </w:rPr>
            </w:pPr>
            <w:r>
              <w:rPr>
                <w:rFonts w:ascii="Cambria" w:eastAsia="Cambria" w:hAnsi="Cambria" w:cs="Cambria"/>
                <w:color w:val="010101"/>
                <w:szCs w:val="24"/>
              </w:rPr>
              <w:t>VCBF, SSI, VCBS, FMARKET</w:t>
            </w:r>
          </w:p>
        </w:tc>
      </w:tr>
    </w:tbl>
    <w:p w14:paraId="55D2D595" w14:textId="77777777" w:rsidR="0006702C" w:rsidRDefault="0006702C" w:rsidP="0006702C">
      <w:pPr>
        <w:spacing w:before="240" w:after="100"/>
        <w:jc w:val="both"/>
        <w:rPr>
          <w:rFonts w:ascii="Cambria" w:eastAsia="Cambria" w:hAnsi="Cambria" w:cs="Cambria"/>
          <w:szCs w:val="24"/>
        </w:rPr>
      </w:pPr>
      <w:r>
        <w:rPr>
          <w:rFonts w:ascii="Cambria" w:eastAsia="Cambria" w:hAnsi="Cambria" w:cs="Cambria"/>
          <w:szCs w:val="24"/>
        </w:rPr>
        <w:t>As of 2023, September 14, VCBF-BCF has the following financial information:</w:t>
      </w:r>
    </w:p>
    <w:tbl>
      <w:tblPr>
        <w:tblStyle w:val="5"/>
        <w:tblW w:w="5000" w:type="pct"/>
        <w:tblInd w:w="0" w:type="dxa"/>
        <w:tblBorders>
          <w:insideH w:val="nil"/>
          <w:insideV w:val="nil"/>
        </w:tblBorders>
        <w:tblLook w:val="0600" w:firstRow="0" w:lastRow="0" w:firstColumn="0" w:lastColumn="0" w:noHBand="1" w:noVBand="1"/>
      </w:tblPr>
      <w:tblGrid>
        <w:gridCol w:w="4810"/>
        <w:gridCol w:w="4540"/>
      </w:tblGrid>
      <w:tr w:rsidR="0006702C" w14:paraId="576511CF" w14:textId="77777777" w:rsidTr="0006702C">
        <w:trPr>
          <w:trHeight w:val="55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14588ED2" w14:textId="77777777" w:rsidR="0006702C" w:rsidRDefault="0006702C">
            <w:pPr>
              <w:widowControl w:val="0"/>
              <w:spacing w:after="100"/>
              <w:jc w:val="both"/>
              <w:rPr>
                <w:rFonts w:ascii="Cambria" w:eastAsia="Cambria" w:hAnsi="Cambria" w:cs="Cambria"/>
                <w:szCs w:val="24"/>
              </w:rPr>
            </w:pPr>
            <w:r>
              <w:rPr>
                <w:rFonts w:ascii="Cambria" w:eastAsia="Cambria" w:hAnsi="Cambria" w:cs="Cambria"/>
                <w:color w:val="010101"/>
                <w:szCs w:val="24"/>
              </w:rPr>
              <w:t>Net asset value</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46BD207" w14:textId="77777777" w:rsidR="0006702C" w:rsidRDefault="0006702C">
            <w:pPr>
              <w:widowControl w:val="0"/>
              <w:spacing w:after="100"/>
              <w:jc w:val="right"/>
              <w:rPr>
                <w:rFonts w:ascii="Cambria" w:eastAsia="Cambria" w:hAnsi="Cambria" w:cs="Cambria"/>
                <w:szCs w:val="24"/>
              </w:rPr>
            </w:pPr>
            <w:r>
              <w:rPr>
                <w:rFonts w:ascii="Cambria" w:eastAsia="Cambria" w:hAnsi="Cambria" w:cs="Cambria"/>
                <w:color w:val="010101"/>
                <w:szCs w:val="24"/>
              </w:rPr>
              <w:t>406,422,236,659 VND</w:t>
            </w:r>
          </w:p>
        </w:tc>
      </w:tr>
      <w:tr w:rsidR="0006702C" w14:paraId="5019EAC9" w14:textId="77777777" w:rsidTr="0006702C">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5B692609" w14:textId="77777777" w:rsidR="0006702C" w:rsidRDefault="0006702C">
            <w:pPr>
              <w:widowControl w:val="0"/>
              <w:spacing w:after="100"/>
              <w:jc w:val="both"/>
              <w:rPr>
                <w:rFonts w:ascii="Cambria" w:eastAsia="Cambria" w:hAnsi="Cambria" w:cs="Cambria"/>
                <w:szCs w:val="24"/>
              </w:rPr>
            </w:pPr>
            <w:r>
              <w:rPr>
                <w:rFonts w:ascii="Cambria" w:eastAsia="Cambria" w:hAnsi="Cambria" w:cs="Cambria"/>
                <w:color w:val="010101"/>
                <w:szCs w:val="24"/>
              </w:rPr>
              <w:t>Net asset value/ETF</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6BE5206D" w14:textId="77777777" w:rsidR="0006702C" w:rsidRDefault="0006702C">
            <w:pPr>
              <w:widowControl w:val="0"/>
              <w:spacing w:after="100"/>
              <w:jc w:val="right"/>
              <w:rPr>
                <w:rFonts w:ascii="Cambria" w:eastAsia="Cambria" w:hAnsi="Cambria" w:cs="Cambria"/>
                <w:szCs w:val="24"/>
              </w:rPr>
            </w:pPr>
            <w:r>
              <w:rPr>
                <w:rFonts w:ascii="Cambria" w:eastAsia="Cambria" w:hAnsi="Cambria" w:cs="Cambria"/>
                <w:color w:val="010101"/>
                <w:szCs w:val="24"/>
              </w:rPr>
              <w:t>30,372.56</w:t>
            </w:r>
          </w:p>
        </w:tc>
      </w:tr>
      <w:tr w:rsidR="0006702C" w14:paraId="7DDC22CB" w14:textId="77777777" w:rsidTr="0006702C">
        <w:trPr>
          <w:trHeight w:val="55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D50FE29" w14:textId="77777777" w:rsidR="0006702C" w:rsidRDefault="0006702C">
            <w:pPr>
              <w:widowControl w:val="0"/>
              <w:spacing w:after="100"/>
              <w:jc w:val="both"/>
              <w:rPr>
                <w:rFonts w:ascii="Cambria" w:eastAsia="Cambria" w:hAnsi="Cambria" w:cs="Cambria"/>
                <w:szCs w:val="24"/>
              </w:rPr>
            </w:pPr>
            <w:r>
              <w:rPr>
                <w:rFonts w:ascii="Cambria" w:eastAsia="Cambria" w:hAnsi="Cambria" w:cs="Cambria"/>
                <w:color w:val="010101"/>
                <w:szCs w:val="24"/>
              </w:rPr>
              <w:t>Net asset value changed compared to the previous period</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773315E6" w14:textId="77777777" w:rsidR="0006702C" w:rsidRDefault="0006702C">
            <w:pPr>
              <w:widowControl w:val="0"/>
              <w:spacing w:after="100"/>
              <w:jc w:val="right"/>
              <w:rPr>
                <w:rFonts w:ascii="Cambria" w:eastAsia="Cambria" w:hAnsi="Cambria" w:cs="Cambria"/>
                <w:szCs w:val="24"/>
              </w:rPr>
            </w:pPr>
            <w:r>
              <w:rPr>
                <w:rFonts w:ascii="Cambria" w:eastAsia="Cambria" w:hAnsi="Cambria" w:cs="Cambria"/>
                <w:color w:val="010101"/>
                <w:szCs w:val="24"/>
              </w:rPr>
              <w:t>1.40%</w:t>
            </w:r>
          </w:p>
        </w:tc>
      </w:tr>
      <w:tr w:rsidR="0006702C" w14:paraId="66F28C52" w14:textId="77777777" w:rsidTr="0006702C">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12FCAE6" w14:textId="77777777" w:rsidR="0006702C" w:rsidRDefault="0006702C">
            <w:pPr>
              <w:widowControl w:val="0"/>
              <w:spacing w:after="100"/>
              <w:jc w:val="both"/>
              <w:rPr>
                <w:rFonts w:ascii="Cambria" w:eastAsia="Cambria" w:hAnsi="Cambria" w:cs="Cambria"/>
                <w:szCs w:val="24"/>
              </w:rPr>
            </w:pPr>
            <w:r>
              <w:rPr>
                <w:rFonts w:ascii="Cambria" w:eastAsia="Cambria" w:hAnsi="Cambria" w:cs="Cambria"/>
                <w:color w:val="010101"/>
                <w:szCs w:val="24"/>
              </w:rPr>
              <w:t>Profit rate from the beginning of the year</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187847E" w14:textId="77777777" w:rsidR="0006702C" w:rsidRDefault="0006702C">
            <w:pPr>
              <w:widowControl w:val="0"/>
              <w:spacing w:after="100"/>
              <w:jc w:val="right"/>
              <w:rPr>
                <w:rFonts w:ascii="Cambria" w:eastAsia="Cambria" w:hAnsi="Cambria" w:cs="Cambria"/>
                <w:szCs w:val="24"/>
              </w:rPr>
            </w:pPr>
            <w:r>
              <w:rPr>
                <w:rFonts w:ascii="Cambria" w:eastAsia="Cambria" w:hAnsi="Cambria" w:cs="Cambria"/>
                <w:color w:val="010101"/>
                <w:szCs w:val="24"/>
              </w:rPr>
              <w:t>25.87%</w:t>
            </w:r>
          </w:p>
        </w:tc>
      </w:tr>
      <w:tr w:rsidR="0006702C" w14:paraId="1A56B052" w14:textId="77777777" w:rsidTr="0006702C">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1FE1420" w14:textId="77777777" w:rsidR="0006702C" w:rsidRDefault="0006702C">
            <w:pPr>
              <w:widowControl w:val="0"/>
              <w:spacing w:after="100"/>
              <w:jc w:val="both"/>
              <w:rPr>
                <w:rFonts w:ascii="Cambria" w:eastAsia="Cambria" w:hAnsi="Cambria" w:cs="Cambria"/>
                <w:szCs w:val="24"/>
              </w:rPr>
            </w:pPr>
            <w:r>
              <w:rPr>
                <w:rFonts w:ascii="Cambria" w:eastAsia="Cambria" w:hAnsi="Cambria" w:cs="Cambria"/>
                <w:color w:val="010101"/>
                <w:szCs w:val="24"/>
              </w:rPr>
              <w:t>Highest net asset value/ETF (52 weeks)</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B56C1D5" w14:textId="77777777" w:rsidR="0006702C" w:rsidRDefault="0006702C">
            <w:pPr>
              <w:widowControl w:val="0"/>
              <w:spacing w:after="100"/>
              <w:jc w:val="right"/>
              <w:rPr>
                <w:rFonts w:ascii="Cambria" w:eastAsia="Cambria" w:hAnsi="Cambria" w:cs="Cambria"/>
                <w:szCs w:val="24"/>
              </w:rPr>
            </w:pPr>
            <w:r>
              <w:rPr>
                <w:rFonts w:ascii="Cambria" w:eastAsia="Cambria" w:hAnsi="Cambria" w:cs="Cambria"/>
                <w:color w:val="010101"/>
                <w:szCs w:val="24"/>
              </w:rPr>
              <w:t>30,655.61</w:t>
            </w:r>
          </w:p>
        </w:tc>
      </w:tr>
      <w:tr w:rsidR="0006702C" w14:paraId="6AE34AD5" w14:textId="77777777" w:rsidTr="0006702C">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0AB6FD25" w14:textId="77777777" w:rsidR="0006702C" w:rsidRDefault="0006702C">
            <w:pPr>
              <w:widowControl w:val="0"/>
              <w:spacing w:after="100"/>
              <w:jc w:val="both"/>
              <w:rPr>
                <w:rFonts w:ascii="Cambria" w:eastAsia="Cambria" w:hAnsi="Cambria" w:cs="Cambria"/>
                <w:szCs w:val="24"/>
              </w:rPr>
            </w:pPr>
            <w:r>
              <w:rPr>
                <w:rFonts w:ascii="Cambria" w:eastAsia="Cambria" w:hAnsi="Cambria" w:cs="Cambria"/>
                <w:color w:val="010101"/>
                <w:szCs w:val="24"/>
              </w:rPr>
              <w:t>Lowest net asset value/ETF (52 weeks)</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91A23FC" w14:textId="77777777" w:rsidR="0006702C" w:rsidRDefault="0006702C">
            <w:pPr>
              <w:widowControl w:val="0"/>
              <w:spacing w:after="100"/>
              <w:jc w:val="right"/>
              <w:rPr>
                <w:rFonts w:ascii="Cambria" w:eastAsia="Cambria" w:hAnsi="Cambria" w:cs="Cambria"/>
                <w:szCs w:val="24"/>
              </w:rPr>
            </w:pPr>
            <w:r>
              <w:rPr>
                <w:rFonts w:ascii="Cambria" w:eastAsia="Cambria" w:hAnsi="Cambria" w:cs="Cambria"/>
                <w:color w:val="010101"/>
                <w:szCs w:val="24"/>
              </w:rPr>
              <w:t>21,439.31</w:t>
            </w:r>
          </w:p>
        </w:tc>
      </w:tr>
      <w:tr w:rsidR="0006702C" w14:paraId="53A6977C" w14:textId="77777777" w:rsidTr="0006702C">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CBAAC21" w14:textId="77777777" w:rsidR="0006702C" w:rsidRDefault="0006702C">
            <w:pPr>
              <w:widowControl w:val="0"/>
              <w:spacing w:after="100"/>
              <w:jc w:val="both"/>
              <w:rPr>
                <w:rFonts w:ascii="Cambria" w:eastAsia="Cambria" w:hAnsi="Cambria" w:cs="Cambria"/>
                <w:szCs w:val="24"/>
              </w:rPr>
            </w:pPr>
            <w:r>
              <w:rPr>
                <w:rFonts w:ascii="Cambria" w:eastAsia="Cambria" w:hAnsi="Cambria" w:cs="Cambria"/>
                <w:color w:val="010101"/>
                <w:szCs w:val="24"/>
              </w:rPr>
              <w:t>Number of fund certificates in circulation</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106A28A9" w14:textId="77777777" w:rsidR="0006702C" w:rsidRDefault="0006702C">
            <w:pPr>
              <w:widowControl w:val="0"/>
              <w:spacing w:after="100"/>
              <w:jc w:val="right"/>
              <w:rPr>
                <w:rFonts w:ascii="Cambria" w:eastAsia="Cambria" w:hAnsi="Cambria" w:cs="Cambria"/>
                <w:szCs w:val="24"/>
              </w:rPr>
            </w:pPr>
            <w:r>
              <w:rPr>
                <w:rFonts w:ascii="Cambria" w:eastAsia="Cambria" w:hAnsi="Cambria" w:cs="Cambria"/>
                <w:color w:val="010101"/>
                <w:szCs w:val="24"/>
              </w:rPr>
              <w:t>13,381,229.02</w:t>
            </w:r>
          </w:p>
        </w:tc>
      </w:tr>
      <w:tr w:rsidR="0006702C" w14:paraId="49214546" w14:textId="77777777" w:rsidTr="0006702C">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390E63D0" w14:textId="77777777" w:rsidR="0006702C" w:rsidRDefault="0006702C">
            <w:pPr>
              <w:widowControl w:val="0"/>
              <w:spacing w:after="100"/>
              <w:jc w:val="both"/>
              <w:rPr>
                <w:rFonts w:ascii="Cambria" w:eastAsia="Cambria" w:hAnsi="Cambria" w:cs="Cambria"/>
                <w:szCs w:val="24"/>
              </w:rPr>
            </w:pPr>
            <w:r>
              <w:rPr>
                <w:rFonts w:ascii="Cambria" w:eastAsia="Cambria" w:hAnsi="Cambria" w:cs="Cambria"/>
                <w:color w:val="010101"/>
                <w:szCs w:val="24"/>
              </w:rPr>
              <w:t>Ownership ratio of foreign investors *</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7817EE63" w14:textId="77777777" w:rsidR="0006702C" w:rsidRDefault="0006702C">
            <w:pPr>
              <w:widowControl w:val="0"/>
              <w:spacing w:after="100"/>
              <w:jc w:val="right"/>
              <w:rPr>
                <w:rFonts w:ascii="Cambria" w:eastAsia="Cambria" w:hAnsi="Cambria" w:cs="Cambria"/>
                <w:szCs w:val="24"/>
              </w:rPr>
            </w:pPr>
            <w:r>
              <w:rPr>
                <w:rFonts w:ascii="Cambria" w:eastAsia="Cambria" w:hAnsi="Cambria" w:cs="Cambria"/>
                <w:color w:val="010101"/>
                <w:szCs w:val="24"/>
              </w:rPr>
              <w:t>21.14%</w:t>
            </w:r>
          </w:p>
        </w:tc>
      </w:tr>
      <w:tr w:rsidR="0006702C" w14:paraId="519FE7AD" w14:textId="77777777" w:rsidTr="0006702C">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1C6B6B45" w14:textId="77777777" w:rsidR="0006702C" w:rsidRDefault="0006702C">
            <w:pPr>
              <w:widowControl w:val="0"/>
              <w:spacing w:after="100"/>
              <w:jc w:val="both"/>
              <w:rPr>
                <w:rFonts w:ascii="Cambria" w:eastAsia="Cambria" w:hAnsi="Cambria" w:cs="Cambria"/>
                <w:szCs w:val="24"/>
              </w:rPr>
            </w:pPr>
            <w:r>
              <w:rPr>
                <w:rFonts w:ascii="Cambria" w:eastAsia="Cambria" w:hAnsi="Cambria" w:cs="Cambria"/>
                <w:color w:val="010101"/>
                <w:szCs w:val="24"/>
              </w:rPr>
              <w:lastRenderedPageBreak/>
              <w:t>Operating expense ratio (%) *</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5FFEEB90" w14:textId="77777777" w:rsidR="0006702C" w:rsidRDefault="0006702C">
            <w:pPr>
              <w:widowControl w:val="0"/>
              <w:spacing w:after="100"/>
              <w:jc w:val="right"/>
              <w:rPr>
                <w:rFonts w:ascii="Cambria" w:eastAsia="Cambria" w:hAnsi="Cambria" w:cs="Cambria"/>
                <w:szCs w:val="24"/>
              </w:rPr>
            </w:pPr>
            <w:r>
              <w:rPr>
                <w:rFonts w:ascii="Cambria" w:eastAsia="Cambria" w:hAnsi="Cambria" w:cs="Cambria"/>
                <w:color w:val="010101"/>
                <w:szCs w:val="24"/>
              </w:rPr>
              <w:t>2.34%</w:t>
            </w:r>
          </w:p>
        </w:tc>
      </w:tr>
      <w:tr w:rsidR="0006702C" w14:paraId="413E9D37" w14:textId="77777777" w:rsidTr="0006702C">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7E87B50E" w14:textId="77777777" w:rsidR="0006702C" w:rsidRDefault="0006702C">
            <w:pPr>
              <w:widowControl w:val="0"/>
              <w:spacing w:after="100"/>
              <w:jc w:val="both"/>
              <w:rPr>
                <w:rFonts w:ascii="Cambria" w:eastAsia="Cambria" w:hAnsi="Cambria" w:cs="Cambria"/>
                <w:szCs w:val="24"/>
              </w:rPr>
            </w:pPr>
            <w:r>
              <w:rPr>
                <w:rFonts w:ascii="Cambria" w:eastAsia="Cambria" w:hAnsi="Cambria" w:cs="Cambria"/>
                <w:color w:val="010101"/>
                <w:szCs w:val="24"/>
              </w:rPr>
              <w:t>Category turnover rate (%) *</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3739D8CA" w14:textId="77777777" w:rsidR="0006702C" w:rsidRDefault="0006702C">
            <w:pPr>
              <w:widowControl w:val="0"/>
              <w:spacing w:after="100"/>
              <w:jc w:val="right"/>
              <w:rPr>
                <w:rFonts w:ascii="Cambria" w:eastAsia="Cambria" w:hAnsi="Cambria" w:cs="Cambria"/>
                <w:szCs w:val="24"/>
              </w:rPr>
            </w:pPr>
            <w:r>
              <w:rPr>
                <w:rFonts w:ascii="Cambria" w:eastAsia="Cambria" w:hAnsi="Cambria" w:cs="Cambria"/>
                <w:color w:val="010101"/>
                <w:szCs w:val="24"/>
              </w:rPr>
              <w:t>38.54%</w:t>
            </w:r>
          </w:p>
        </w:tc>
      </w:tr>
      <w:tr w:rsidR="0006702C" w14:paraId="5A5EC7EF" w14:textId="77777777" w:rsidTr="0006702C">
        <w:trPr>
          <w:trHeight w:val="315"/>
        </w:trPr>
        <w:tc>
          <w:tcPr>
            <w:tcW w:w="2572"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1A222D09" w14:textId="77777777" w:rsidR="0006702C" w:rsidRDefault="0006702C">
            <w:pPr>
              <w:widowControl w:val="0"/>
              <w:spacing w:after="100"/>
              <w:jc w:val="both"/>
              <w:rPr>
                <w:rFonts w:ascii="Cambria" w:eastAsia="Cambria" w:hAnsi="Cambria" w:cs="Cambria"/>
                <w:szCs w:val="24"/>
              </w:rPr>
            </w:pPr>
            <w:r>
              <w:rPr>
                <w:rFonts w:ascii="Cambria" w:eastAsia="Cambria" w:hAnsi="Cambria" w:cs="Cambria"/>
                <w:color w:val="010101"/>
                <w:szCs w:val="24"/>
              </w:rPr>
              <w:t>Total category *</w:t>
            </w:r>
          </w:p>
        </w:tc>
        <w:tc>
          <w:tcPr>
            <w:tcW w:w="2428" w:type="pct"/>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hideMark/>
          </w:tcPr>
          <w:p w14:paraId="2C2674E2" w14:textId="77777777" w:rsidR="0006702C" w:rsidRDefault="0006702C">
            <w:pPr>
              <w:widowControl w:val="0"/>
              <w:spacing w:after="100"/>
              <w:jc w:val="right"/>
              <w:rPr>
                <w:rFonts w:ascii="Cambria" w:eastAsia="Cambria" w:hAnsi="Cambria" w:cs="Cambria"/>
                <w:szCs w:val="24"/>
              </w:rPr>
            </w:pPr>
            <w:r>
              <w:rPr>
                <w:rFonts w:ascii="Cambria" w:eastAsia="Cambria" w:hAnsi="Cambria" w:cs="Cambria"/>
                <w:color w:val="010101"/>
                <w:szCs w:val="24"/>
              </w:rPr>
              <w:t>26 stocks</w:t>
            </w:r>
          </w:p>
        </w:tc>
      </w:tr>
    </w:tbl>
    <w:p w14:paraId="012900C2" w14:textId="77777777" w:rsidR="0006702C" w:rsidRDefault="0006702C" w:rsidP="0006702C">
      <w:pPr>
        <w:jc w:val="center"/>
        <w:rPr>
          <w:b/>
          <w:bCs/>
        </w:rPr>
      </w:pPr>
      <w:r>
        <w:rPr>
          <w:b/>
          <w:bCs/>
        </w:rPr>
        <w:t>Table 1&amp;2: Basic financial information of VCBF-BCF</w:t>
      </w:r>
    </w:p>
    <w:p w14:paraId="1D0EB94B" w14:textId="77777777" w:rsidR="0006702C" w:rsidRDefault="0006702C" w:rsidP="0006702C">
      <w:pPr>
        <w:rPr>
          <w:lang w:val="vi-VN"/>
        </w:rPr>
      </w:pPr>
      <w:r>
        <w:rPr>
          <w:lang w:val="vi-VN"/>
        </w:rPr>
        <w:t>The table presents fundamental financial data related to VCBF-BCF as of September 14, 2023. In summary, the table provides a comprehensive overview of VCBF-BCF's financial performance and characteristics. The fund exhibits positive trends, an attractive profit rate, and a diverse portfolio, making it an intriguing investment option for both domestic and foreign investors.</w:t>
      </w:r>
    </w:p>
    <w:p w14:paraId="58E7292B" w14:textId="77777777" w:rsidR="0006702C" w:rsidRDefault="0006702C" w:rsidP="0006702C">
      <w:pPr>
        <w:pStyle w:val="Heading2"/>
        <w:spacing w:after="100"/>
      </w:pPr>
      <w:bookmarkStart w:id="10" w:name="_Toc168907796"/>
      <w:r>
        <w:t>2. Fees</w:t>
      </w:r>
      <w:bookmarkEnd w:id="10"/>
    </w:p>
    <w:tbl>
      <w:tblPr>
        <w:tblStyle w:val="4"/>
        <w:tblW w:w="9585" w:type="dxa"/>
        <w:tblInd w:w="-10" w:type="dxa"/>
        <w:tblBorders>
          <w:insideH w:val="nil"/>
          <w:insideV w:val="nil"/>
        </w:tblBorders>
        <w:tblLayout w:type="fixed"/>
        <w:tblLook w:val="0600" w:firstRow="0" w:lastRow="0" w:firstColumn="0" w:lastColumn="0" w:noHBand="1" w:noVBand="1"/>
      </w:tblPr>
      <w:tblGrid>
        <w:gridCol w:w="796"/>
        <w:gridCol w:w="4736"/>
        <w:gridCol w:w="4053"/>
      </w:tblGrid>
      <w:tr w:rsidR="0006702C" w14:paraId="54DD1EE3" w14:textId="77777777" w:rsidTr="0006702C">
        <w:trPr>
          <w:trHeight w:val="375"/>
        </w:trPr>
        <w:tc>
          <w:tcPr>
            <w:tcW w:w="79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3723416F" w14:textId="77777777" w:rsidR="0006702C" w:rsidRDefault="0006702C">
            <w:pPr>
              <w:spacing w:before="80" w:after="100"/>
              <w:jc w:val="center"/>
              <w:rPr>
                <w:rFonts w:ascii="Cambria" w:eastAsia="Cambria" w:hAnsi="Cambria" w:cs="Cambria"/>
                <w:b/>
                <w:szCs w:val="24"/>
              </w:rPr>
            </w:pPr>
            <w:r>
              <w:rPr>
                <w:rFonts w:ascii="Cambria" w:eastAsia="Cambria" w:hAnsi="Cambria" w:cs="Cambria"/>
                <w:b/>
                <w:szCs w:val="24"/>
              </w:rPr>
              <w:t>No.</w:t>
            </w:r>
          </w:p>
        </w:tc>
        <w:tc>
          <w:tcPr>
            <w:tcW w:w="4734" w:type="dxa"/>
            <w:tcBorders>
              <w:top w:val="single" w:sz="8" w:space="0" w:color="000000"/>
              <w:left w:val="nil"/>
              <w:bottom w:val="single" w:sz="8" w:space="0" w:color="000000"/>
              <w:right w:val="single" w:sz="8" w:space="0" w:color="000000"/>
            </w:tcBorders>
            <w:tcMar>
              <w:top w:w="0" w:type="dxa"/>
              <w:left w:w="0" w:type="dxa"/>
              <w:bottom w:w="0" w:type="dxa"/>
              <w:right w:w="0" w:type="dxa"/>
            </w:tcMar>
            <w:hideMark/>
          </w:tcPr>
          <w:p w14:paraId="5E920335" w14:textId="77777777" w:rsidR="0006702C" w:rsidRDefault="0006702C">
            <w:pPr>
              <w:spacing w:before="80" w:after="100"/>
              <w:ind w:left="1133" w:right="1880"/>
              <w:jc w:val="center"/>
              <w:rPr>
                <w:rFonts w:ascii="Cambria" w:eastAsia="Cambria" w:hAnsi="Cambria" w:cs="Cambria"/>
                <w:b/>
                <w:szCs w:val="24"/>
              </w:rPr>
            </w:pPr>
            <w:r>
              <w:rPr>
                <w:rFonts w:ascii="Cambria" w:eastAsia="Cambria" w:hAnsi="Cambria" w:cs="Cambria"/>
                <w:b/>
                <w:szCs w:val="24"/>
              </w:rPr>
              <w:t>Services</w:t>
            </w:r>
          </w:p>
        </w:tc>
        <w:tc>
          <w:tcPr>
            <w:tcW w:w="4051" w:type="dxa"/>
            <w:tcBorders>
              <w:top w:val="single" w:sz="8" w:space="0" w:color="000000"/>
              <w:left w:val="nil"/>
              <w:bottom w:val="single" w:sz="8" w:space="0" w:color="000000"/>
              <w:right w:val="single" w:sz="8" w:space="0" w:color="000000"/>
            </w:tcBorders>
            <w:tcMar>
              <w:top w:w="0" w:type="dxa"/>
              <w:left w:w="0" w:type="dxa"/>
              <w:bottom w:w="0" w:type="dxa"/>
              <w:right w:w="0" w:type="dxa"/>
            </w:tcMar>
            <w:hideMark/>
          </w:tcPr>
          <w:p w14:paraId="2291F7D3" w14:textId="77777777" w:rsidR="0006702C" w:rsidRDefault="0006702C">
            <w:pPr>
              <w:spacing w:before="80" w:after="100"/>
              <w:ind w:left="900" w:right="780"/>
              <w:jc w:val="center"/>
              <w:rPr>
                <w:rFonts w:ascii="Cambria" w:eastAsia="Cambria" w:hAnsi="Cambria" w:cs="Cambria"/>
                <w:b/>
                <w:szCs w:val="24"/>
              </w:rPr>
            </w:pPr>
            <w:r>
              <w:rPr>
                <w:rFonts w:ascii="Cambria" w:eastAsia="Cambria" w:hAnsi="Cambria" w:cs="Cambria"/>
                <w:b/>
                <w:szCs w:val="24"/>
              </w:rPr>
              <w:t>Fee</w:t>
            </w:r>
          </w:p>
        </w:tc>
      </w:tr>
      <w:tr w:rsidR="0006702C" w14:paraId="489BB017" w14:textId="77777777" w:rsidTr="0006702C">
        <w:trPr>
          <w:trHeight w:val="375"/>
        </w:trPr>
        <w:tc>
          <w:tcPr>
            <w:tcW w:w="79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hideMark/>
          </w:tcPr>
          <w:p w14:paraId="41F6BE03" w14:textId="77777777" w:rsidR="0006702C" w:rsidRDefault="0006702C">
            <w:pPr>
              <w:spacing w:before="60" w:after="100"/>
              <w:jc w:val="center"/>
              <w:rPr>
                <w:rFonts w:ascii="Cambria" w:eastAsia="Cambria" w:hAnsi="Cambria" w:cs="Cambria"/>
                <w:szCs w:val="24"/>
              </w:rPr>
            </w:pPr>
            <w:r>
              <w:rPr>
                <w:rFonts w:ascii="Cambria" w:eastAsia="Cambria" w:hAnsi="Cambria" w:cs="Cambria"/>
                <w:szCs w:val="24"/>
              </w:rPr>
              <w:t>1.</w:t>
            </w:r>
          </w:p>
        </w:tc>
        <w:tc>
          <w:tcPr>
            <w:tcW w:w="4734" w:type="dxa"/>
            <w:tcBorders>
              <w:top w:val="nil"/>
              <w:left w:val="nil"/>
              <w:bottom w:val="single" w:sz="8" w:space="0" w:color="000000"/>
              <w:right w:val="single" w:sz="8" w:space="0" w:color="000000"/>
            </w:tcBorders>
            <w:tcMar>
              <w:top w:w="0" w:type="dxa"/>
              <w:left w:w="0" w:type="dxa"/>
              <w:bottom w:w="0" w:type="dxa"/>
              <w:right w:w="0" w:type="dxa"/>
            </w:tcMar>
            <w:hideMark/>
          </w:tcPr>
          <w:p w14:paraId="31E440DF" w14:textId="77777777" w:rsidR="0006702C" w:rsidRDefault="0006702C">
            <w:pPr>
              <w:spacing w:before="80" w:after="100"/>
              <w:jc w:val="both"/>
              <w:rPr>
                <w:rFonts w:ascii="Cambria" w:eastAsia="Cambria" w:hAnsi="Cambria" w:cs="Cambria"/>
                <w:szCs w:val="24"/>
              </w:rPr>
            </w:pPr>
            <w:r>
              <w:rPr>
                <w:rFonts w:ascii="Cambria" w:eastAsia="Cambria" w:hAnsi="Cambria" w:cs="Cambria"/>
                <w:szCs w:val="24"/>
              </w:rPr>
              <w:t xml:space="preserve"> Opening account</w:t>
            </w:r>
          </w:p>
        </w:tc>
        <w:tc>
          <w:tcPr>
            <w:tcW w:w="4051" w:type="dxa"/>
            <w:tcBorders>
              <w:top w:val="nil"/>
              <w:left w:val="nil"/>
              <w:bottom w:val="single" w:sz="8" w:space="0" w:color="000000"/>
              <w:right w:val="single" w:sz="8" w:space="0" w:color="000000"/>
            </w:tcBorders>
            <w:tcMar>
              <w:top w:w="0" w:type="dxa"/>
              <w:left w:w="0" w:type="dxa"/>
              <w:bottom w:w="0" w:type="dxa"/>
              <w:right w:w="0" w:type="dxa"/>
            </w:tcMar>
            <w:hideMark/>
          </w:tcPr>
          <w:p w14:paraId="1C99854E" w14:textId="77777777" w:rsidR="0006702C" w:rsidRDefault="0006702C">
            <w:pPr>
              <w:spacing w:before="60" w:after="100"/>
              <w:ind w:left="135" w:right="780"/>
              <w:jc w:val="both"/>
              <w:rPr>
                <w:rFonts w:ascii="Cambria" w:eastAsia="Cambria" w:hAnsi="Cambria" w:cs="Cambria"/>
                <w:szCs w:val="24"/>
              </w:rPr>
            </w:pPr>
            <w:r>
              <w:rPr>
                <w:rFonts w:ascii="Cambria" w:eastAsia="Cambria" w:hAnsi="Cambria" w:cs="Cambria"/>
                <w:szCs w:val="24"/>
              </w:rPr>
              <w:t>Free</w:t>
            </w:r>
          </w:p>
        </w:tc>
      </w:tr>
      <w:tr w:rsidR="0006702C" w14:paraId="6D9D9C43" w14:textId="77777777" w:rsidTr="0006702C">
        <w:trPr>
          <w:trHeight w:val="375"/>
        </w:trPr>
        <w:tc>
          <w:tcPr>
            <w:tcW w:w="79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hideMark/>
          </w:tcPr>
          <w:p w14:paraId="17BF4962" w14:textId="77777777" w:rsidR="0006702C" w:rsidRDefault="0006702C">
            <w:pPr>
              <w:spacing w:before="60" w:after="100"/>
              <w:jc w:val="center"/>
              <w:rPr>
                <w:rFonts w:ascii="Cambria" w:eastAsia="Cambria" w:hAnsi="Cambria" w:cs="Cambria"/>
                <w:szCs w:val="24"/>
              </w:rPr>
            </w:pPr>
            <w:r>
              <w:rPr>
                <w:rFonts w:ascii="Cambria" w:eastAsia="Cambria" w:hAnsi="Cambria" w:cs="Cambria"/>
                <w:szCs w:val="24"/>
              </w:rPr>
              <w:t>2.</w:t>
            </w:r>
          </w:p>
        </w:tc>
        <w:tc>
          <w:tcPr>
            <w:tcW w:w="4734" w:type="dxa"/>
            <w:tcBorders>
              <w:top w:val="nil"/>
              <w:left w:val="nil"/>
              <w:bottom w:val="single" w:sz="8" w:space="0" w:color="000000"/>
              <w:right w:val="single" w:sz="8" w:space="0" w:color="000000"/>
            </w:tcBorders>
            <w:tcMar>
              <w:top w:w="0" w:type="dxa"/>
              <w:left w:w="0" w:type="dxa"/>
              <w:bottom w:w="0" w:type="dxa"/>
              <w:right w:w="0" w:type="dxa"/>
            </w:tcMar>
            <w:hideMark/>
          </w:tcPr>
          <w:p w14:paraId="206F0514" w14:textId="77777777" w:rsidR="0006702C" w:rsidRDefault="0006702C">
            <w:pPr>
              <w:spacing w:before="80" w:after="100"/>
              <w:jc w:val="both"/>
              <w:rPr>
                <w:rFonts w:ascii="Cambria" w:eastAsia="Cambria" w:hAnsi="Cambria" w:cs="Cambria"/>
                <w:szCs w:val="24"/>
              </w:rPr>
            </w:pPr>
            <w:r>
              <w:rPr>
                <w:rFonts w:ascii="Cambria" w:eastAsia="Cambria" w:hAnsi="Cambria" w:cs="Cambria"/>
                <w:szCs w:val="24"/>
              </w:rPr>
              <w:t xml:space="preserve"> Online trading services</w:t>
            </w:r>
          </w:p>
        </w:tc>
        <w:tc>
          <w:tcPr>
            <w:tcW w:w="4051" w:type="dxa"/>
            <w:tcBorders>
              <w:top w:val="nil"/>
              <w:left w:val="nil"/>
              <w:bottom w:val="single" w:sz="8" w:space="0" w:color="000000"/>
              <w:right w:val="single" w:sz="8" w:space="0" w:color="000000"/>
            </w:tcBorders>
            <w:tcMar>
              <w:top w:w="0" w:type="dxa"/>
              <w:left w:w="0" w:type="dxa"/>
              <w:bottom w:w="0" w:type="dxa"/>
              <w:right w:w="0" w:type="dxa"/>
            </w:tcMar>
            <w:hideMark/>
          </w:tcPr>
          <w:p w14:paraId="5E2286E3" w14:textId="77777777" w:rsidR="0006702C" w:rsidRDefault="0006702C">
            <w:pPr>
              <w:spacing w:before="60" w:after="100"/>
              <w:ind w:left="135" w:right="780"/>
              <w:jc w:val="both"/>
              <w:rPr>
                <w:rFonts w:ascii="Cambria" w:eastAsia="Cambria" w:hAnsi="Cambria" w:cs="Cambria"/>
                <w:szCs w:val="24"/>
              </w:rPr>
            </w:pPr>
            <w:r>
              <w:rPr>
                <w:rFonts w:ascii="Cambria" w:eastAsia="Cambria" w:hAnsi="Cambria" w:cs="Cambria"/>
                <w:szCs w:val="24"/>
              </w:rPr>
              <w:t>Free</w:t>
            </w:r>
          </w:p>
        </w:tc>
      </w:tr>
      <w:tr w:rsidR="0006702C" w14:paraId="1AA98430" w14:textId="77777777" w:rsidTr="0006702C">
        <w:trPr>
          <w:trHeight w:val="115"/>
        </w:trPr>
        <w:tc>
          <w:tcPr>
            <w:tcW w:w="795" w:type="dxa"/>
            <w:vMerge w:val="restart"/>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hideMark/>
          </w:tcPr>
          <w:p w14:paraId="5280A276" w14:textId="77777777" w:rsidR="0006702C" w:rsidRDefault="0006702C">
            <w:pPr>
              <w:spacing w:before="240" w:after="100"/>
              <w:jc w:val="center"/>
              <w:rPr>
                <w:rFonts w:ascii="Cambria" w:eastAsia="Cambria" w:hAnsi="Cambria" w:cs="Cambria"/>
                <w:szCs w:val="24"/>
              </w:rPr>
            </w:pPr>
            <w:r>
              <w:rPr>
                <w:rFonts w:ascii="Cambria" w:eastAsia="Cambria" w:hAnsi="Cambria" w:cs="Cambria"/>
                <w:szCs w:val="24"/>
              </w:rPr>
              <w:t>3.</w:t>
            </w:r>
          </w:p>
        </w:tc>
        <w:tc>
          <w:tcPr>
            <w:tcW w:w="8785" w:type="dxa"/>
            <w:gridSpan w:val="2"/>
            <w:tcBorders>
              <w:top w:val="nil"/>
              <w:left w:val="nil"/>
              <w:bottom w:val="single" w:sz="8" w:space="0" w:color="000000"/>
              <w:right w:val="single" w:sz="8" w:space="0" w:color="000000"/>
            </w:tcBorders>
            <w:tcMar>
              <w:top w:w="0" w:type="dxa"/>
              <w:left w:w="0" w:type="dxa"/>
              <w:bottom w:w="0" w:type="dxa"/>
              <w:right w:w="0" w:type="dxa"/>
            </w:tcMar>
            <w:hideMark/>
          </w:tcPr>
          <w:p w14:paraId="2BE566E7" w14:textId="77777777" w:rsidR="0006702C" w:rsidRDefault="0006702C">
            <w:pPr>
              <w:spacing w:before="240" w:after="100"/>
              <w:jc w:val="both"/>
              <w:rPr>
                <w:rFonts w:ascii="Cambria" w:eastAsia="Cambria" w:hAnsi="Cambria" w:cs="Cambria"/>
                <w:szCs w:val="24"/>
              </w:rPr>
            </w:pPr>
            <w:r>
              <w:rPr>
                <w:rFonts w:ascii="Cambria" w:eastAsia="Cambria" w:hAnsi="Cambria" w:cs="Cambria"/>
                <w:szCs w:val="24"/>
              </w:rPr>
              <w:t xml:space="preserve"> Subscription orders:</w:t>
            </w:r>
          </w:p>
        </w:tc>
      </w:tr>
      <w:tr w:rsidR="0006702C" w14:paraId="5799E568" w14:textId="77777777" w:rsidTr="0006702C">
        <w:trPr>
          <w:trHeight w:val="466"/>
        </w:trPr>
        <w:tc>
          <w:tcPr>
            <w:tcW w:w="795" w:type="dxa"/>
            <w:vMerge/>
            <w:tcBorders>
              <w:top w:val="nil"/>
              <w:left w:val="single" w:sz="8" w:space="0" w:color="000000"/>
              <w:bottom w:val="single" w:sz="8" w:space="0" w:color="000000"/>
              <w:right w:val="single" w:sz="8" w:space="0" w:color="000000"/>
            </w:tcBorders>
            <w:vAlign w:val="center"/>
            <w:hideMark/>
          </w:tcPr>
          <w:p w14:paraId="7440D7DD" w14:textId="77777777" w:rsidR="0006702C" w:rsidRDefault="0006702C">
            <w:pPr>
              <w:spacing w:line="240" w:lineRule="auto"/>
              <w:rPr>
                <w:rFonts w:ascii="Cambria" w:eastAsia="Cambria" w:hAnsi="Cambria" w:cs="Cambria"/>
                <w:szCs w:val="24"/>
              </w:rPr>
            </w:pPr>
          </w:p>
        </w:tc>
        <w:tc>
          <w:tcPr>
            <w:tcW w:w="4734" w:type="dxa"/>
            <w:tcBorders>
              <w:top w:val="nil"/>
              <w:left w:val="nil"/>
              <w:bottom w:val="single" w:sz="8" w:space="0" w:color="000000"/>
              <w:right w:val="single" w:sz="8" w:space="0" w:color="000000"/>
            </w:tcBorders>
            <w:tcMar>
              <w:top w:w="0" w:type="dxa"/>
              <w:left w:w="0" w:type="dxa"/>
              <w:bottom w:w="0" w:type="dxa"/>
              <w:right w:w="0" w:type="dxa"/>
            </w:tcMar>
            <w:hideMark/>
          </w:tcPr>
          <w:p w14:paraId="76A61C7D" w14:textId="77777777" w:rsidR="0006702C" w:rsidRDefault="0006702C">
            <w:pPr>
              <w:spacing w:before="60" w:after="100"/>
              <w:jc w:val="both"/>
              <w:rPr>
                <w:rFonts w:ascii="Cambria" w:eastAsia="Cambria" w:hAnsi="Cambria" w:cs="Cambria"/>
                <w:szCs w:val="24"/>
              </w:rPr>
            </w:pPr>
            <w:r>
              <w:rPr>
                <w:rFonts w:ascii="Cambria" w:eastAsia="Cambria" w:hAnsi="Cambria" w:cs="Cambria"/>
                <w:szCs w:val="24"/>
              </w:rPr>
              <w:t xml:space="preserve"> VND1,000,000 to VND1,000,000,000</w:t>
            </w:r>
          </w:p>
        </w:tc>
        <w:tc>
          <w:tcPr>
            <w:tcW w:w="4051" w:type="dxa"/>
            <w:tcBorders>
              <w:top w:val="nil"/>
              <w:left w:val="nil"/>
              <w:bottom w:val="single" w:sz="8" w:space="0" w:color="000000"/>
              <w:right w:val="single" w:sz="8" w:space="0" w:color="000000"/>
            </w:tcBorders>
            <w:tcMar>
              <w:top w:w="0" w:type="dxa"/>
              <w:left w:w="0" w:type="dxa"/>
              <w:bottom w:w="0" w:type="dxa"/>
              <w:right w:w="0" w:type="dxa"/>
            </w:tcMar>
            <w:hideMark/>
          </w:tcPr>
          <w:p w14:paraId="5D9FD421" w14:textId="77777777" w:rsidR="0006702C" w:rsidRDefault="0006702C">
            <w:pPr>
              <w:spacing w:before="60" w:after="100"/>
              <w:ind w:left="135" w:right="780"/>
              <w:jc w:val="both"/>
              <w:rPr>
                <w:rFonts w:ascii="Cambria" w:eastAsia="Cambria" w:hAnsi="Cambria" w:cs="Cambria"/>
                <w:szCs w:val="24"/>
              </w:rPr>
            </w:pPr>
            <w:r>
              <w:rPr>
                <w:rFonts w:ascii="Cambria" w:eastAsia="Cambria" w:hAnsi="Cambria" w:cs="Cambria"/>
                <w:szCs w:val="24"/>
              </w:rPr>
              <w:t>0.5%</w:t>
            </w:r>
          </w:p>
        </w:tc>
      </w:tr>
      <w:tr w:rsidR="0006702C" w14:paraId="40F7910C" w14:textId="77777777" w:rsidTr="0006702C">
        <w:trPr>
          <w:trHeight w:val="645"/>
        </w:trPr>
        <w:tc>
          <w:tcPr>
            <w:tcW w:w="795" w:type="dxa"/>
            <w:vMerge/>
            <w:tcBorders>
              <w:top w:val="nil"/>
              <w:left w:val="single" w:sz="8" w:space="0" w:color="000000"/>
              <w:bottom w:val="single" w:sz="8" w:space="0" w:color="000000"/>
              <w:right w:val="single" w:sz="8" w:space="0" w:color="000000"/>
            </w:tcBorders>
            <w:vAlign w:val="center"/>
            <w:hideMark/>
          </w:tcPr>
          <w:p w14:paraId="4602A471" w14:textId="77777777" w:rsidR="0006702C" w:rsidRDefault="0006702C">
            <w:pPr>
              <w:spacing w:line="240" w:lineRule="auto"/>
              <w:rPr>
                <w:rFonts w:ascii="Cambria" w:eastAsia="Cambria" w:hAnsi="Cambria" w:cs="Cambria"/>
                <w:szCs w:val="24"/>
              </w:rPr>
            </w:pPr>
          </w:p>
        </w:tc>
        <w:tc>
          <w:tcPr>
            <w:tcW w:w="4734" w:type="dxa"/>
            <w:tcBorders>
              <w:top w:val="nil"/>
              <w:left w:val="nil"/>
              <w:bottom w:val="single" w:sz="8" w:space="0" w:color="000000"/>
              <w:right w:val="single" w:sz="8" w:space="0" w:color="000000"/>
            </w:tcBorders>
            <w:tcMar>
              <w:top w:w="0" w:type="dxa"/>
              <w:left w:w="0" w:type="dxa"/>
              <w:bottom w:w="0" w:type="dxa"/>
              <w:right w:w="0" w:type="dxa"/>
            </w:tcMar>
            <w:hideMark/>
          </w:tcPr>
          <w:p w14:paraId="6E6B5ED6" w14:textId="77777777" w:rsidR="0006702C" w:rsidRDefault="0006702C">
            <w:pPr>
              <w:spacing w:before="60" w:after="100"/>
              <w:ind w:left="48" w:right="780" w:hanging="48"/>
              <w:jc w:val="both"/>
              <w:rPr>
                <w:rFonts w:ascii="Cambria" w:eastAsia="Cambria" w:hAnsi="Cambria" w:cs="Cambria"/>
                <w:szCs w:val="24"/>
              </w:rPr>
            </w:pPr>
            <w:r>
              <w:rPr>
                <w:rFonts w:ascii="Cambria" w:eastAsia="Cambria" w:hAnsi="Cambria" w:cs="Cambria"/>
                <w:szCs w:val="24"/>
              </w:rPr>
              <w:t xml:space="preserve"> More than VND1,000,000,000 to VND5,000,000,000</w:t>
            </w:r>
          </w:p>
        </w:tc>
        <w:tc>
          <w:tcPr>
            <w:tcW w:w="4051" w:type="dxa"/>
            <w:tcBorders>
              <w:top w:val="nil"/>
              <w:left w:val="nil"/>
              <w:bottom w:val="single" w:sz="8" w:space="0" w:color="000000"/>
              <w:right w:val="single" w:sz="8" w:space="0" w:color="000000"/>
            </w:tcBorders>
            <w:tcMar>
              <w:top w:w="0" w:type="dxa"/>
              <w:left w:w="0" w:type="dxa"/>
              <w:bottom w:w="0" w:type="dxa"/>
              <w:right w:w="0" w:type="dxa"/>
            </w:tcMar>
            <w:hideMark/>
          </w:tcPr>
          <w:p w14:paraId="28222524" w14:textId="77777777" w:rsidR="0006702C" w:rsidRDefault="0006702C">
            <w:pPr>
              <w:spacing w:before="60" w:after="100"/>
              <w:ind w:left="135" w:right="780"/>
              <w:jc w:val="both"/>
              <w:rPr>
                <w:rFonts w:ascii="Cambria" w:eastAsia="Cambria" w:hAnsi="Cambria" w:cs="Cambria"/>
                <w:szCs w:val="24"/>
              </w:rPr>
            </w:pPr>
            <w:r>
              <w:rPr>
                <w:rFonts w:ascii="Cambria" w:eastAsia="Cambria" w:hAnsi="Cambria" w:cs="Cambria"/>
                <w:szCs w:val="24"/>
              </w:rPr>
              <w:t>0.3%</w:t>
            </w:r>
          </w:p>
        </w:tc>
      </w:tr>
      <w:tr w:rsidR="0006702C" w14:paraId="225ABE66" w14:textId="77777777" w:rsidTr="0006702C">
        <w:trPr>
          <w:trHeight w:val="390"/>
        </w:trPr>
        <w:tc>
          <w:tcPr>
            <w:tcW w:w="795" w:type="dxa"/>
            <w:vMerge/>
            <w:tcBorders>
              <w:top w:val="nil"/>
              <w:left w:val="single" w:sz="8" w:space="0" w:color="000000"/>
              <w:bottom w:val="single" w:sz="8" w:space="0" w:color="000000"/>
              <w:right w:val="single" w:sz="8" w:space="0" w:color="000000"/>
            </w:tcBorders>
            <w:vAlign w:val="center"/>
            <w:hideMark/>
          </w:tcPr>
          <w:p w14:paraId="74845153" w14:textId="77777777" w:rsidR="0006702C" w:rsidRDefault="0006702C">
            <w:pPr>
              <w:spacing w:line="240" w:lineRule="auto"/>
              <w:rPr>
                <w:rFonts w:ascii="Cambria" w:eastAsia="Cambria" w:hAnsi="Cambria" w:cs="Cambria"/>
                <w:szCs w:val="24"/>
              </w:rPr>
            </w:pPr>
          </w:p>
        </w:tc>
        <w:tc>
          <w:tcPr>
            <w:tcW w:w="4734" w:type="dxa"/>
            <w:tcBorders>
              <w:top w:val="nil"/>
              <w:left w:val="nil"/>
              <w:bottom w:val="single" w:sz="8" w:space="0" w:color="000000"/>
              <w:right w:val="single" w:sz="8" w:space="0" w:color="000000"/>
            </w:tcBorders>
            <w:tcMar>
              <w:top w:w="0" w:type="dxa"/>
              <w:left w:w="0" w:type="dxa"/>
              <w:bottom w:w="0" w:type="dxa"/>
              <w:right w:w="0" w:type="dxa"/>
            </w:tcMar>
            <w:hideMark/>
          </w:tcPr>
          <w:p w14:paraId="1330C06F" w14:textId="77777777" w:rsidR="0006702C" w:rsidRDefault="0006702C">
            <w:pPr>
              <w:spacing w:before="60" w:after="100"/>
              <w:jc w:val="both"/>
              <w:rPr>
                <w:rFonts w:ascii="Cambria" w:eastAsia="Cambria" w:hAnsi="Cambria" w:cs="Cambria"/>
                <w:szCs w:val="24"/>
              </w:rPr>
            </w:pPr>
            <w:r>
              <w:rPr>
                <w:rFonts w:ascii="Cambria" w:eastAsia="Cambria" w:hAnsi="Cambria" w:cs="Cambria"/>
                <w:szCs w:val="24"/>
              </w:rPr>
              <w:t xml:space="preserve"> More than VND5,000,000,000</w:t>
            </w:r>
          </w:p>
        </w:tc>
        <w:tc>
          <w:tcPr>
            <w:tcW w:w="4051" w:type="dxa"/>
            <w:tcBorders>
              <w:top w:val="nil"/>
              <w:left w:val="nil"/>
              <w:bottom w:val="single" w:sz="8" w:space="0" w:color="000000"/>
              <w:right w:val="single" w:sz="8" w:space="0" w:color="000000"/>
            </w:tcBorders>
            <w:tcMar>
              <w:top w:w="0" w:type="dxa"/>
              <w:left w:w="0" w:type="dxa"/>
              <w:bottom w:w="0" w:type="dxa"/>
              <w:right w:w="0" w:type="dxa"/>
            </w:tcMar>
            <w:hideMark/>
          </w:tcPr>
          <w:p w14:paraId="50532FB9" w14:textId="77777777" w:rsidR="0006702C" w:rsidRDefault="0006702C">
            <w:pPr>
              <w:spacing w:before="60" w:after="100"/>
              <w:ind w:left="135" w:right="780"/>
              <w:jc w:val="both"/>
              <w:rPr>
                <w:rFonts w:ascii="Cambria" w:eastAsia="Cambria" w:hAnsi="Cambria" w:cs="Cambria"/>
                <w:szCs w:val="24"/>
              </w:rPr>
            </w:pPr>
            <w:r>
              <w:rPr>
                <w:rFonts w:ascii="Cambria" w:eastAsia="Cambria" w:hAnsi="Cambria" w:cs="Cambria"/>
                <w:szCs w:val="24"/>
              </w:rPr>
              <w:t>Free</w:t>
            </w:r>
          </w:p>
        </w:tc>
      </w:tr>
      <w:tr w:rsidR="0006702C" w14:paraId="76D61D6A" w14:textId="77777777" w:rsidTr="0006702C">
        <w:trPr>
          <w:trHeight w:val="375"/>
        </w:trPr>
        <w:tc>
          <w:tcPr>
            <w:tcW w:w="795" w:type="dxa"/>
            <w:vMerge w:val="restart"/>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hideMark/>
          </w:tcPr>
          <w:p w14:paraId="0E472201" w14:textId="77777777" w:rsidR="0006702C" w:rsidRDefault="0006702C">
            <w:pPr>
              <w:spacing w:before="180" w:after="100"/>
              <w:jc w:val="center"/>
              <w:rPr>
                <w:rFonts w:ascii="Cambria" w:eastAsia="Cambria" w:hAnsi="Cambria" w:cs="Cambria"/>
                <w:szCs w:val="24"/>
              </w:rPr>
            </w:pPr>
            <w:r>
              <w:rPr>
                <w:rFonts w:ascii="Cambria" w:eastAsia="Cambria" w:hAnsi="Cambria" w:cs="Cambria"/>
                <w:szCs w:val="24"/>
              </w:rPr>
              <w:t>4.</w:t>
            </w:r>
          </w:p>
        </w:tc>
        <w:tc>
          <w:tcPr>
            <w:tcW w:w="4734" w:type="dxa"/>
            <w:tcBorders>
              <w:top w:val="nil"/>
              <w:left w:val="nil"/>
              <w:bottom w:val="single" w:sz="8" w:space="0" w:color="000000"/>
              <w:right w:val="single" w:sz="8" w:space="0" w:color="000000"/>
            </w:tcBorders>
            <w:tcMar>
              <w:top w:w="0" w:type="dxa"/>
              <w:left w:w="0" w:type="dxa"/>
              <w:bottom w:w="0" w:type="dxa"/>
              <w:right w:w="0" w:type="dxa"/>
            </w:tcMar>
            <w:hideMark/>
          </w:tcPr>
          <w:p w14:paraId="59F036C3" w14:textId="77777777" w:rsidR="0006702C" w:rsidRDefault="0006702C">
            <w:pPr>
              <w:spacing w:before="80" w:after="100"/>
              <w:jc w:val="both"/>
              <w:rPr>
                <w:rFonts w:ascii="Cambria" w:eastAsia="Cambria" w:hAnsi="Cambria" w:cs="Cambria"/>
                <w:szCs w:val="24"/>
              </w:rPr>
            </w:pPr>
            <w:r>
              <w:rPr>
                <w:rFonts w:ascii="Cambria" w:eastAsia="Cambria" w:hAnsi="Cambria" w:cs="Cambria"/>
                <w:szCs w:val="24"/>
              </w:rPr>
              <w:t xml:space="preserve"> Redemption orders:</w:t>
            </w:r>
          </w:p>
        </w:tc>
        <w:tc>
          <w:tcPr>
            <w:tcW w:w="4051" w:type="dxa"/>
            <w:tcBorders>
              <w:top w:val="nil"/>
              <w:left w:val="nil"/>
              <w:bottom w:val="single" w:sz="8" w:space="0" w:color="000000"/>
              <w:right w:val="single" w:sz="8" w:space="0" w:color="000000"/>
            </w:tcBorders>
            <w:tcMar>
              <w:top w:w="0" w:type="dxa"/>
              <w:left w:w="0" w:type="dxa"/>
              <w:bottom w:w="0" w:type="dxa"/>
              <w:right w:w="0" w:type="dxa"/>
            </w:tcMar>
          </w:tcPr>
          <w:p w14:paraId="6F71ABBB" w14:textId="77777777" w:rsidR="0006702C" w:rsidRDefault="0006702C">
            <w:pPr>
              <w:spacing w:before="60" w:after="100"/>
              <w:ind w:left="135" w:right="780"/>
              <w:jc w:val="both"/>
              <w:rPr>
                <w:rFonts w:ascii="Cambria" w:eastAsia="Cambria" w:hAnsi="Cambria" w:cs="Cambria"/>
                <w:szCs w:val="24"/>
              </w:rPr>
            </w:pPr>
          </w:p>
        </w:tc>
      </w:tr>
      <w:tr w:rsidR="0006702C" w14:paraId="0F897829" w14:textId="77777777" w:rsidTr="0006702C">
        <w:trPr>
          <w:trHeight w:val="390"/>
        </w:trPr>
        <w:tc>
          <w:tcPr>
            <w:tcW w:w="795" w:type="dxa"/>
            <w:vMerge/>
            <w:tcBorders>
              <w:top w:val="nil"/>
              <w:left w:val="single" w:sz="8" w:space="0" w:color="000000"/>
              <w:bottom w:val="single" w:sz="8" w:space="0" w:color="000000"/>
              <w:right w:val="single" w:sz="8" w:space="0" w:color="000000"/>
            </w:tcBorders>
            <w:vAlign w:val="center"/>
            <w:hideMark/>
          </w:tcPr>
          <w:p w14:paraId="0F336EB6" w14:textId="77777777" w:rsidR="0006702C" w:rsidRDefault="0006702C">
            <w:pPr>
              <w:spacing w:line="240" w:lineRule="auto"/>
              <w:rPr>
                <w:rFonts w:ascii="Cambria" w:eastAsia="Cambria" w:hAnsi="Cambria" w:cs="Cambria"/>
                <w:szCs w:val="24"/>
              </w:rPr>
            </w:pPr>
          </w:p>
        </w:tc>
        <w:tc>
          <w:tcPr>
            <w:tcW w:w="4734" w:type="dxa"/>
            <w:tcBorders>
              <w:top w:val="nil"/>
              <w:left w:val="nil"/>
              <w:bottom w:val="single" w:sz="8" w:space="0" w:color="000000"/>
              <w:right w:val="single" w:sz="8" w:space="0" w:color="000000"/>
            </w:tcBorders>
            <w:tcMar>
              <w:top w:w="0" w:type="dxa"/>
              <w:left w:w="0" w:type="dxa"/>
              <w:bottom w:w="0" w:type="dxa"/>
              <w:right w:w="0" w:type="dxa"/>
            </w:tcMar>
            <w:hideMark/>
          </w:tcPr>
          <w:p w14:paraId="432AF1B1" w14:textId="77777777" w:rsidR="0006702C" w:rsidRDefault="0006702C">
            <w:pPr>
              <w:spacing w:before="60" w:after="100"/>
              <w:jc w:val="both"/>
              <w:rPr>
                <w:rFonts w:ascii="Cambria" w:eastAsia="Cambria" w:hAnsi="Cambria" w:cs="Cambria"/>
                <w:szCs w:val="24"/>
              </w:rPr>
            </w:pPr>
            <w:r>
              <w:rPr>
                <w:rFonts w:ascii="Cambria" w:eastAsia="Cambria" w:hAnsi="Cambria" w:cs="Cambria"/>
                <w:szCs w:val="24"/>
              </w:rPr>
              <w:t xml:space="preserve"> Holding Period: 1 month or less</w:t>
            </w:r>
          </w:p>
        </w:tc>
        <w:tc>
          <w:tcPr>
            <w:tcW w:w="4051" w:type="dxa"/>
            <w:tcBorders>
              <w:top w:val="nil"/>
              <w:left w:val="nil"/>
              <w:bottom w:val="single" w:sz="8" w:space="0" w:color="000000"/>
              <w:right w:val="single" w:sz="8" w:space="0" w:color="000000"/>
            </w:tcBorders>
            <w:tcMar>
              <w:top w:w="0" w:type="dxa"/>
              <w:left w:w="0" w:type="dxa"/>
              <w:bottom w:w="0" w:type="dxa"/>
              <w:right w:w="0" w:type="dxa"/>
            </w:tcMar>
            <w:hideMark/>
          </w:tcPr>
          <w:p w14:paraId="6186E845" w14:textId="77777777" w:rsidR="0006702C" w:rsidRDefault="0006702C">
            <w:pPr>
              <w:spacing w:before="60" w:after="100"/>
              <w:ind w:left="135" w:right="780"/>
              <w:jc w:val="both"/>
              <w:rPr>
                <w:rFonts w:ascii="Cambria" w:eastAsia="Cambria" w:hAnsi="Cambria" w:cs="Cambria"/>
                <w:szCs w:val="24"/>
              </w:rPr>
            </w:pPr>
            <w:r>
              <w:rPr>
                <w:rFonts w:ascii="Cambria" w:eastAsia="Cambria" w:hAnsi="Cambria" w:cs="Cambria"/>
                <w:szCs w:val="24"/>
              </w:rPr>
              <w:t>3.0%</w:t>
            </w:r>
          </w:p>
        </w:tc>
      </w:tr>
      <w:tr w:rsidR="0006702C" w14:paraId="2DECF291" w14:textId="77777777" w:rsidTr="0006702C">
        <w:trPr>
          <w:trHeight w:val="645"/>
        </w:trPr>
        <w:tc>
          <w:tcPr>
            <w:tcW w:w="795" w:type="dxa"/>
            <w:vMerge/>
            <w:tcBorders>
              <w:top w:val="nil"/>
              <w:left w:val="single" w:sz="8" w:space="0" w:color="000000"/>
              <w:bottom w:val="single" w:sz="8" w:space="0" w:color="000000"/>
              <w:right w:val="single" w:sz="8" w:space="0" w:color="000000"/>
            </w:tcBorders>
            <w:vAlign w:val="center"/>
            <w:hideMark/>
          </w:tcPr>
          <w:p w14:paraId="27D36F40" w14:textId="77777777" w:rsidR="0006702C" w:rsidRDefault="0006702C">
            <w:pPr>
              <w:spacing w:line="240" w:lineRule="auto"/>
              <w:rPr>
                <w:rFonts w:ascii="Cambria" w:eastAsia="Cambria" w:hAnsi="Cambria" w:cs="Cambria"/>
                <w:szCs w:val="24"/>
              </w:rPr>
            </w:pPr>
          </w:p>
        </w:tc>
        <w:tc>
          <w:tcPr>
            <w:tcW w:w="4734" w:type="dxa"/>
            <w:tcBorders>
              <w:top w:val="nil"/>
              <w:left w:val="nil"/>
              <w:bottom w:val="single" w:sz="8" w:space="0" w:color="000000"/>
              <w:right w:val="single" w:sz="8" w:space="0" w:color="000000"/>
            </w:tcBorders>
            <w:tcMar>
              <w:top w:w="0" w:type="dxa"/>
              <w:left w:w="0" w:type="dxa"/>
              <w:bottom w:w="0" w:type="dxa"/>
              <w:right w:w="0" w:type="dxa"/>
            </w:tcMar>
            <w:hideMark/>
          </w:tcPr>
          <w:p w14:paraId="755FA01F" w14:textId="77777777" w:rsidR="0006702C" w:rsidRDefault="0006702C">
            <w:pPr>
              <w:spacing w:before="60" w:after="100"/>
              <w:ind w:left="48" w:right="260" w:hanging="48"/>
              <w:jc w:val="both"/>
              <w:rPr>
                <w:rFonts w:ascii="Cambria" w:eastAsia="Cambria" w:hAnsi="Cambria" w:cs="Cambria"/>
                <w:szCs w:val="24"/>
              </w:rPr>
            </w:pPr>
            <w:r>
              <w:rPr>
                <w:rFonts w:ascii="Cambria" w:eastAsia="Cambria" w:hAnsi="Cambria" w:cs="Cambria"/>
                <w:szCs w:val="24"/>
              </w:rPr>
              <w:t xml:space="preserve"> Holding Period: More than 1 month to 12 months</w:t>
            </w:r>
          </w:p>
        </w:tc>
        <w:tc>
          <w:tcPr>
            <w:tcW w:w="4051" w:type="dxa"/>
            <w:tcBorders>
              <w:top w:val="nil"/>
              <w:left w:val="nil"/>
              <w:bottom w:val="single" w:sz="8" w:space="0" w:color="000000"/>
              <w:right w:val="single" w:sz="8" w:space="0" w:color="000000"/>
            </w:tcBorders>
            <w:tcMar>
              <w:top w:w="0" w:type="dxa"/>
              <w:left w:w="0" w:type="dxa"/>
              <w:bottom w:w="0" w:type="dxa"/>
              <w:right w:w="0" w:type="dxa"/>
            </w:tcMar>
            <w:hideMark/>
          </w:tcPr>
          <w:p w14:paraId="708EB61A" w14:textId="77777777" w:rsidR="0006702C" w:rsidRDefault="0006702C">
            <w:pPr>
              <w:spacing w:before="60" w:after="100"/>
              <w:ind w:left="135" w:right="780"/>
              <w:jc w:val="both"/>
              <w:rPr>
                <w:rFonts w:ascii="Cambria" w:eastAsia="Cambria" w:hAnsi="Cambria" w:cs="Cambria"/>
                <w:szCs w:val="24"/>
              </w:rPr>
            </w:pPr>
            <w:r>
              <w:rPr>
                <w:rFonts w:ascii="Cambria" w:eastAsia="Cambria" w:hAnsi="Cambria" w:cs="Cambria"/>
                <w:szCs w:val="24"/>
              </w:rPr>
              <w:t>1.0% (1.4% for SIP)**</w:t>
            </w:r>
          </w:p>
        </w:tc>
      </w:tr>
      <w:tr w:rsidR="0006702C" w14:paraId="6F1E5308" w14:textId="77777777" w:rsidTr="0006702C">
        <w:trPr>
          <w:trHeight w:val="645"/>
        </w:trPr>
        <w:tc>
          <w:tcPr>
            <w:tcW w:w="795" w:type="dxa"/>
            <w:vMerge/>
            <w:tcBorders>
              <w:top w:val="nil"/>
              <w:left w:val="single" w:sz="8" w:space="0" w:color="000000"/>
              <w:bottom w:val="single" w:sz="8" w:space="0" w:color="000000"/>
              <w:right w:val="single" w:sz="8" w:space="0" w:color="000000"/>
            </w:tcBorders>
            <w:vAlign w:val="center"/>
            <w:hideMark/>
          </w:tcPr>
          <w:p w14:paraId="76226689" w14:textId="77777777" w:rsidR="0006702C" w:rsidRDefault="0006702C">
            <w:pPr>
              <w:spacing w:line="240" w:lineRule="auto"/>
              <w:rPr>
                <w:rFonts w:ascii="Cambria" w:eastAsia="Cambria" w:hAnsi="Cambria" w:cs="Cambria"/>
                <w:szCs w:val="24"/>
              </w:rPr>
            </w:pPr>
          </w:p>
        </w:tc>
        <w:tc>
          <w:tcPr>
            <w:tcW w:w="4734" w:type="dxa"/>
            <w:tcBorders>
              <w:top w:val="nil"/>
              <w:left w:val="nil"/>
              <w:bottom w:val="single" w:sz="8" w:space="0" w:color="000000"/>
              <w:right w:val="single" w:sz="8" w:space="0" w:color="000000"/>
            </w:tcBorders>
            <w:tcMar>
              <w:top w:w="0" w:type="dxa"/>
              <w:left w:w="0" w:type="dxa"/>
              <w:bottom w:w="0" w:type="dxa"/>
              <w:right w:w="0" w:type="dxa"/>
            </w:tcMar>
            <w:hideMark/>
          </w:tcPr>
          <w:p w14:paraId="20C48903" w14:textId="77777777" w:rsidR="0006702C" w:rsidRDefault="0006702C">
            <w:pPr>
              <w:spacing w:before="60" w:after="100"/>
              <w:ind w:left="48" w:right="280"/>
              <w:jc w:val="both"/>
              <w:rPr>
                <w:rFonts w:ascii="Cambria" w:eastAsia="Cambria" w:hAnsi="Cambria" w:cs="Cambria"/>
                <w:szCs w:val="24"/>
              </w:rPr>
            </w:pPr>
            <w:r>
              <w:rPr>
                <w:rFonts w:ascii="Cambria" w:eastAsia="Cambria" w:hAnsi="Cambria" w:cs="Cambria"/>
                <w:szCs w:val="24"/>
              </w:rPr>
              <w:t>Holding Period: More than 12 months to 24 months</w:t>
            </w:r>
          </w:p>
        </w:tc>
        <w:tc>
          <w:tcPr>
            <w:tcW w:w="4051" w:type="dxa"/>
            <w:tcBorders>
              <w:top w:val="nil"/>
              <w:left w:val="nil"/>
              <w:bottom w:val="single" w:sz="8" w:space="0" w:color="000000"/>
              <w:right w:val="single" w:sz="8" w:space="0" w:color="000000"/>
            </w:tcBorders>
            <w:tcMar>
              <w:top w:w="0" w:type="dxa"/>
              <w:left w:w="0" w:type="dxa"/>
              <w:bottom w:w="0" w:type="dxa"/>
              <w:right w:w="0" w:type="dxa"/>
            </w:tcMar>
            <w:hideMark/>
          </w:tcPr>
          <w:p w14:paraId="2EC8F9A7" w14:textId="77777777" w:rsidR="0006702C" w:rsidRDefault="0006702C">
            <w:pPr>
              <w:spacing w:before="60" w:after="100"/>
              <w:ind w:left="135" w:right="780"/>
              <w:jc w:val="both"/>
              <w:rPr>
                <w:rFonts w:ascii="Cambria" w:eastAsia="Cambria" w:hAnsi="Cambria" w:cs="Cambria"/>
                <w:szCs w:val="24"/>
              </w:rPr>
            </w:pPr>
            <w:r>
              <w:rPr>
                <w:rFonts w:ascii="Cambria" w:eastAsia="Cambria" w:hAnsi="Cambria" w:cs="Cambria"/>
                <w:szCs w:val="24"/>
              </w:rPr>
              <w:t>0.5%</w:t>
            </w:r>
          </w:p>
        </w:tc>
      </w:tr>
      <w:tr w:rsidR="0006702C" w14:paraId="414CF26A" w14:textId="77777777" w:rsidTr="0006702C">
        <w:trPr>
          <w:trHeight w:val="390"/>
        </w:trPr>
        <w:tc>
          <w:tcPr>
            <w:tcW w:w="795" w:type="dxa"/>
            <w:vMerge/>
            <w:tcBorders>
              <w:top w:val="nil"/>
              <w:left w:val="single" w:sz="8" w:space="0" w:color="000000"/>
              <w:bottom w:val="single" w:sz="8" w:space="0" w:color="000000"/>
              <w:right w:val="single" w:sz="8" w:space="0" w:color="000000"/>
            </w:tcBorders>
            <w:vAlign w:val="center"/>
            <w:hideMark/>
          </w:tcPr>
          <w:p w14:paraId="7964522A" w14:textId="77777777" w:rsidR="0006702C" w:rsidRDefault="0006702C">
            <w:pPr>
              <w:spacing w:line="240" w:lineRule="auto"/>
              <w:rPr>
                <w:rFonts w:ascii="Cambria" w:eastAsia="Cambria" w:hAnsi="Cambria" w:cs="Cambria"/>
                <w:szCs w:val="24"/>
              </w:rPr>
            </w:pPr>
          </w:p>
        </w:tc>
        <w:tc>
          <w:tcPr>
            <w:tcW w:w="4734" w:type="dxa"/>
            <w:tcBorders>
              <w:top w:val="nil"/>
              <w:left w:val="nil"/>
              <w:bottom w:val="single" w:sz="8" w:space="0" w:color="000000"/>
              <w:right w:val="single" w:sz="8" w:space="0" w:color="000000"/>
            </w:tcBorders>
            <w:tcMar>
              <w:top w:w="0" w:type="dxa"/>
              <w:left w:w="0" w:type="dxa"/>
              <w:bottom w:w="0" w:type="dxa"/>
              <w:right w:w="0" w:type="dxa"/>
            </w:tcMar>
            <w:hideMark/>
          </w:tcPr>
          <w:p w14:paraId="18B103A1" w14:textId="77777777" w:rsidR="0006702C" w:rsidRDefault="0006702C">
            <w:pPr>
              <w:spacing w:before="60" w:after="100"/>
              <w:jc w:val="both"/>
              <w:rPr>
                <w:rFonts w:ascii="Cambria" w:eastAsia="Cambria" w:hAnsi="Cambria" w:cs="Cambria"/>
                <w:szCs w:val="24"/>
              </w:rPr>
            </w:pPr>
            <w:r>
              <w:rPr>
                <w:rFonts w:ascii="Cambria" w:eastAsia="Cambria" w:hAnsi="Cambria" w:cs="Cambria"/>
                <w:szCs w:val="24"/>
              </w:rPr>
              <w:t xml:space="preserve"> Holding Period: More than 24 months</w:t>
            </w:r>
          </w:p>
        </w:tc>
        <w:tc>
          <w:tcPr>
            <w:tcW w:w="4051" w:type="dxa"/>
            <w:tcBorders>
              <w:top w:val="nil"/>
              <w:left w:val="nil"/>
              <w:bottom w:val="single" w:sz="8" w:space="0" w:color="000000"/>
              <w:right w:val="single" w:sz="8" w:space="0" w:color="000000"/>
            </w:tcBorders>
            <w:tcMar>
              <w:top w:w="0" w:type="dxa"/>
              <w:left w:w="0" w:type="dxa"/>
              <w:bottom w:w="0" w:type="dxa"/>
              <w:right w:w="0" w:type="dxa"/>
            </w:tcMar>
            <w:hideMark/>
          </w:tcPr>
          <w:p w14:paraId="59E50064" w14:textId="77777777" w:rsidR="0006702C" w:rsidRDefault="0006702C">
            <w:pPr>
              <w:spacing w:before="60" w:after="100"/>
              <w:ind w:left="135" w:right="780"/>
              <w:jc w:val="both"/>
              <w:rPr>
                <w:rFonts w:ascii="Cambria" w:eastAsia="Cambria" w:hAnsi="Cambria" w:cs="Cambria"/>
                <w:szCs w:val="24"/>
              </w:rPr>
            </w:pPr>
            <w:r>
              <w:rPr>
                <w:rFonts w:ascii="Cambria" w:eastAsia="Cambria" w:hAnsi="Cambria" w:cs="Cambria"/>
                <w:szCs w:val="24"/>
              </w:rPr>
              <w:t>Free</w:t>
            </w:r>
          </w:p>
        </w:tc>
      </w:tr>
      <w:tr w:rsidR="0006702C" w14:paraId="7FF79EE9" w14:textId="77777777" w:rsidTr="0006702C">
        <w:trPr>
          <w:trHeight w:val="1665"/>
        </w:trPr>
        <w:tc>
          <w:tcPr>
            <w:tcW w:w="795"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hideMark/>
          </w:tcPr>
          <w:p w14:paraId="3FFCB08A" w14:textId="77777777" w:rsidR="0006702C" w:rsidRDefault="0006702C">
            <w:pPr>
              <w:spacing w:before="240" w:after="100"/>
              <w:jc w:val="center"/>
              <w:rPr>
                <w:rFonts w:ascii="Cambria" w:eastAsia="Cambria" w:hAnsi="Cambria" w:cs="Cambria"/>
                <w:szCs w:val="24"/>
              </w:rPr>
            </w:pPr>
            <w:r>
              <w:rPr>
                <w:rFonts w:ascii="Cambria" w:eastAsia="Cambria" w:hAnsi="Cambria" w:cs="Cambria"/>
                <w:szCs w:val="24"/>
              </w:rPr>
              <w:t>5.</w:t>
            </w:r>
          </w:p>
        </w:tc>
        <w:tc>
          <w:tcPr>
            <w:tcW w:w="4734" w:type="dxa"/>
            <w:tcBorders>
              <w:top w:val="nil"/>
              <w:left w:val="nil"/>
              <w:bottom w:val="single" w:sz="8" w:space="0" w:color="000000"/>
              <w:right w:val="single" w:sz="8" w:space="0" w:color="000000"/>
            </w:tcBorders>
            <w:tcMar>
              <w:top w:w="0" w:type="dxa"/>
              <w:left w:w="0" w:type="dxa"/>
              <w:bottom w:w="0" w:type="dxa"/>
              <w:right w:w="0" w:type="dxa"/>
            </w:tcMar>
            <w:hideMark/>
          </w:tcPr>
          <w:p w14:paraId="5C0D646A" w14:textId="77777777" w:rsidR="0006702C" w:rsidRDefault="0006702C">
            <w:pPr>
              <w:spacing w:before="240" w:after="100"/>
              <w:jc w:val="both"/>
              <w:rPr>
                <w:rFonts w:ascii="Cambria" w:eastAsia="Cambria" w:hAnsi="Cambria" w:cs="Cambria"/>
                <w:szCs w:val="24"/>
              </w:rPr>
            </w:pPr>
            <w:r>
              <w:rPr>
                <w:rFonts w:ascii="Cambria" w:eastAsia="Cambria" w:hAnsi="Cambria" w:cs="Cambria"/>
                <w:szCs w:val="24"/>
              </w:rPr>
              <w:t xml:space="preserve"> Switching orders</w:t>
            </w:r>
          </w:p>
        </w:tc>
        <w:tc>
          <w:tcPr>
            <w:tcW w:w="4051" w:type="dxa"/>
            <w:tcBorders>
              <w:top w:val="nil"/>
              <w:left w:val="nil"/>
              <w:bottom w:val="single" w:sz="8" w:space="0" w:color="000000"/>
              <w:right w:val="single" w:sz="8" w:space="0" w:color="000000"/>
            </w:tcBorders>
            <w:tcMar>
              <w:top w:w="0" w:type="dxa"/>
              <w:left w:w="0" w:type="dxa"/>
              <w:bottom w:w="0" w:type="dxa"/>
              <w:right w:w="0" w:type="dxa"/>
            </w:tcMar>
            <w:hideMark/>
          </w:tcPr>
          <w:p w14:paraId="08D21EE3" w14:textId="77777777" w:rsidR="0006702C" w:rsidRDefault="0006702C">
            <w:pPr>
              <w:spacing w:before="60" w:after="100"/>
              <w:ind w:left="135" w:right="220"/>
              <w:rPr>
                <w:rFonts w:ascii="Cambria" w:eastAsia="Cambria" w:hAnsi="Cambria" w:cs="Cambria"/>
                <w:szCs w:val="24"/>
              </w:rPr>
            </w:pPr>
            <w:r>
              <w:rPr>
                <w:rFonts w:ascii="Cambria" w:eastAsia="Cambria" w:hAnsi="Cambria" w:cs="Cambria"/>
                <w:szCs w:val="24"/>
              </w:rPr>
              <w:t>The Switching Fee is the difference between the Subscription Fee of the destination Fund and the Subscription Fee of the leaving Fund at the time the switch is executed if this difference is higher than zero.</w:t>
            </w:r>
          </w:p>
        </w:tc>
      </w:tr>
      <w:tr w:rsidR="0006702C" w14:paraId="4D199124" w14:textId="77777777" w:rsidTr="0006702C">
        <w:trPr>
          <w:trHeight w:val="375"/>
        </w:trPr>
        <w:tc>
          <w:tcPr>
            <w:tcW w:w="795" w:type="dxa"/>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5998568A" w14:textId="77777777" w:rsidR="0006702C" w:rsidRDefault="0006702C">
            <w:pPr>
              <w:spacing w:before="60" w:after="100"/>
              <w:ind w:left="120"/>
              <w:jc w:val="both"/>
              <w:rPr>
                <w:rFonts w:ascii="Cambria" w:eastAsia="Cambria" w:hAnsi="Cambria" w:cs="Cambria"/>
                <w:szCs w:val="24"/>
              </w:rPr>
            </w:pPr>
            <w:r>
              <w:rPr>
                <w:rFonts w:ascii="Cambria" w:eastAsia="Cambria" w:hAnsi="Cambria" w:cs="Cambria"/>
                <w:szCs w:val="24"/>
              </w:rPr>
              <w:t>6.</w:t>
            </w:r>
          </w:p>
        </w:tc>
        <w:tc>
          <w:tcPr>
            <w:tcW w:w="4734" w:type="dxa"/>
            <w:tcBorders>
              <w:top w:val="nil"/>
              <w:left w:val="nil"/>
              <w:bottom w:val="single" w:sz="8" w:space="0" w:color="000000"/>
              <w:right w:val="single" w:sz="8" w:space="0" w:color="000000"/>
            </w:tcBorders>
            <w:tcMar>
              <w:top w:w="0" w:type="dxa"/>
              <w:left w:w="0" w:type="dxa"/>
              <w:bottom w:w="0" w:type="dxa"/>
              <w:right w:w="0" w:type="dxa"/>
            </w:tcMar>
            <w:hideMark/>
          </w:tcPr>
          <w:p w14:paraId="443CDCC0" w14:textId="77777777" w:rsidR="0006702C" w:rsidRDefault="0006702C">
            <w:pPr>
              <w:spacing w:before="80" w:after="100"/>
              <w:ind w:left="120"/>
              <w:jc w:val="both"/>
              <w:rPr>
                <w:rFonts w:ascii="Cambria" w:eastAsia="Cambria" w:hAnsi="Cambria" w:cs="Cambria"/>
                <w:szCs w:val="24"/>
              </w:rPr>
            </w:pPr>
            <w:r>
              <w:rPr>
                <w:rFonts w:ascii="Cambria" w:eastAsia="Cambria" w:hAnsi="Cambria" w:cs="Cambria"/>
                <w:szCs w:val="24"/>
              </w:rPr>
              <w:t>Transfer orders</w:t>
            </w:r>
          </w:p>
        </w:tc>
        <w:tc>
          <w:tcPr>
            <w:tcW w:w="4051" w:type="dxa"/>
            <w:tcBorders>
              <w:top w:val="nil"/>
              <w:left w:val="nil"/>
              <w:bottom w:val="single" w:sz="8" w:space="0" w:color="000000"/>
              <w:right w:val="single" w:sz="8" w:space="0" w:color="000000"/>
            </w:tcBorders>
            <w:tcMar>
              <w:top w:w="0" w:type="dxa"/>
              <w:left w:w="0" w:type="dxa"/>
              <w:bottom w:w="0" w:type="dxa"/>
              <w:right w:w="0" w:type="dxa"/>
            </w:tcMar>
            <w:hideMark/>
          </w:tcPr>
          <w:p w14:paraId="6DED8BD0" w14:textId="77777777" w:rsidR="0006702C" w:rsidRDefault="0006702C">
            <w:pPr>
              <w:spacing w:before="60" w:after="100"/>
              <w:ind w:left="135" w:right="780"/>
              <w:jc w:val="both"/>
              <w:rPr>
                <w:rFonts w:ascii="Cambria" w:eastAsia="Cambria" w:hAnsi="Cambria" w:cs="Cambria"/>
                <w:szCs w:val="24"/>
              </w:rPr>
            </w:pPr>
            <w:r>
              <w:rPr>
                <w:rFonts w:ascii="Cambria" w:eastAsia="Cambria" w:hAnsi="Cambria" w:cs="Cambria"/>
                <w:szCs w:val="24"/>
              </w:rPr>
              <w:t xml:space="preserve"> VND300,000/transaction</w:t>
            </w:r>
          </w:p>
        </w:tc>
      </w:tr>
      <w:tr w:rsidR="0006702C" w14:paraId="28EA2CB9" w14:textId="77777777" w:rsidTr="0006702C">
        <w:trPr>
          <w:trHeight w:val="630"/>
        </w:trPr>
        <w:tc>
          <w:tcPr>
            <w:tcW w:w="795" w:type="dxa"/>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68E1DF2D" w14:textId="77777777" w:rsidR="0006702C" w:rsidRDefault="0006702C">
            <w:pPr>
              <w:spacing w:before="200" w:after="100"/>
              <w:ind w:left="120"/>
              <w:jc w:val="both"/>
              <w:rPr>
                <w:rFonts w:ascii="Cambria" w:eastAsia="Cambria" w:hAnsi="Cambria" w:cs="Cambria"/>
                <w:szCs w:val="24"/>
              </w:rPr>
            </w:pPr>
            <w:r>
              <w:rPr>
                <w:rFonts w:ascii="Cambria" w:eastAsia="Cambria" w:hAnsi="Cambria" w:cs="Cambria"/>
                <w:szCs w:val="24"/>
              </w:rPr>
              <w:t>7.</w:t>
            </w:r>
          </w:p>
        </w:tc>
        <w:tc>
          <w:tcPr>
            <w:tcW w:w="4734" w:type="dxa"/>
            <w:tcBorders>
              <w:top w:val="nil"/>
              <w:left w:val="nil"/>
              <w:bottom w:val="single" w:sz="8" w:space="0" w:color="000000"/>
              <w:right w:val="single" w:sz="8" w:space="0" w:color="000000"/>
            </w:tcBorders>
            <w:tcMar>
              <w:top w:w="0" w:type="dxa"/>
              <w:left w:w="0" w:type="dxa"/>
              <w:bottom w:w="0" w:type="dxa"/>
              <w:right w:w="0" w:type="dxa"/>
            </w:tcMar>
            <w:hideMark/>
          </w:tcPr>
          <w:p w14:paraId="3C3BBE07" w14:textId="77777777" w:rsidR="0006702C" w:rsidRDefault="0006702C">
            <w:pPr>
              <w:spacing w:before="80" w:after="100"/>
              <w:ind w:left="120" w:right="130"/>
              <w:jc w:val="both"/>
              <w:rPr>
                <w:rFonts w:ascii="Cambria" w:eastAsia="Cambria" w:hAnsi="Cambria" w:cs="Cambria"/>
                <w:szCs w:val="24"/>
              </w:rPr>
            </w:pPr>
            <w:r>
              <w:rPr>
                <w:rFonts w:ascii="Cambria" w:eastAsia="Cambria" w:hAnsi="Cambria" w:cs="Cambria"/>
                <w:szCs w:val="24"/>
              </w:rPr>
              <w:t>Subscription Fees applied for Systematic Investment Plans (SIP)</w:t>
            </w:r>
          </w:p>
        </w:tc>
        <w:tc>
          <w:tcPr>
            <w:tcW w:w="4051" w:type="dxa"/>
            <w:tcBorders>
              <w:top w:val="nil"/>
              <w:left w:val="nil"/>
              <w:bottom w:val="single" w:sz="8" w:space="0" w:color="000000"/>
              <w:right w:val="single" w:sz="8" w:space="0" w:color="000000"/>
            </w:tcBorders>
            <w:tcMar>
              <w:top w:w="0" w:type="dxa"/>
              <w:left w:w="0" w:type="dxa"/>
              <w:bottom w:w="0" w:type="dxa"/>
              <w:right w:w="0" w:type="dxa"/>
            </w:tcMar>
            <w:hideMark/>
          </w:tcPr>
          <w:p w14:paraId="5AF5F5F9" w14:textId="77777777" w:rsidR="0006702C" w:rsidRDefault="0006702C">
            <w:pPr>
              <w:spacing w:before="60" w:after="100"/>
              <w:ind w:left="135" w:right="780"/>
              <w:jc w:val="both"/>
              <w:rPr>
                <w:rFonts w:ascii="Cambria" w:eastAsia="Cambria" w:hAnsi="Cambria" w:cs="Cambria"/>
                <w:szCs w:val="24"/>
              </w:rPr>
            </w:pPr>
            <w:r>
              <w:rPr>
                <w:rFonts w:ascii="Cambria" w:eastAsia="Cambria" w:hAnsi="Cambria" w:cs="Cambria"/>
                <w:szCs w:val="24"/>
              </w:rPr>
              <w:t>Free</w:t>
            </w:r>
          </w:p>
        </w:tc>
      </w:tr>
    </w:tbl>
    <w:p w14:paraId="3AC271D3" w14:textId="77777777" w:rsidR="0006702C" w:rsidRDefault="0006702C" w:rsidP="0006702C">
      <w:pPr>
        <w:spacing w:after="100"/>
        <w:ind w:left="100" w:right="200"/>
        <w:jc w:val="center"/>
        <w:rPr>
          <w:rFonts w:ascii="Cambria" w:eastAsia="Cambria" w:hAnsi="Cambria" w:cs="Cambria"/>
          <w:b/>
          <w:bCs/>
          <w:iCs/>
          <w:szCs w:val="24"/>
        </w:rPr>
      </w:pPr>
      <w:r>
        <w:rPr>
          <w:rFonts w:ascii="Cambria" w:eastAsia="Cambria" w:hAnsi="Cambria" w:cs="Cambria"/>
          <w:b/>
          <w:bCs/>
          <w:iCs/>
          <w:szCs w:val="24"/>
        </w:rPr>
        <w:t>Table 3: Associated Fees of VCBF-BCF</w:t>
      </w:r>
    </w:p>
    <w:p w14:paraId="50958378" w14:textId="77777777" w:rsidR="0006702C" w:rsidRDefault="0006702C" w:rsidP="0006702C">
      <w:pPr>
        <w:spacing w:after="100"/>
        <w:ind w:left="100" w:right="200"/>
        <w:jc w:val="both"/>
        <w:rPr>
          <w:rFonts w:ascii="Cambria" w:eastAsia="Cambria" w:hAnsi="Cambria" w:cs="Cambria"/>
          <w:i/>
          <w:szCs w:val="24"/>
        </w:rPr>
      </w:pPr>
      <w:r>
        <w:rPr>
          <w:rFonts w:ascii="Cambria" w:eastAsia="Cambria" w:hAnsi="Cambria" w:cs="Cambria"/>
          <w:i/>
          <w:szCs w:val="24"/>
        </w:rPr>
        <w:t>* Operating and administration expenses, including management fees, the supervisory bank fees, custody fees, fund administration fees, registrar and transfer agency services fees, auditor fees, allowance of the fund representative board, and other expenses, will be charged as expenses to the Fund</w:t>
      </w:r>
    </w:p>
    <w:p w14:paraId="12E167F1" w14:textId="77777777" w:rsidR="0006702C" w:rsidRDefault="0006702C" w:rsidP="0006702C">
      <w:pPr>
        <w:spacing w:after="100"/>
        <w:ind w:left="100" w:right="200"/>
        <w:jc w:val="both"/>
        <w:rPr>
          <w:rFonts w:ascii="Cambria" w:eastAsia="Cambria" w:hAnsi="Cambria" w:cs="Cambria"/>
          <w:i/>
          <w:szCs w:val="24"/>
        </w:rPr>
      </w:pPr>
      <w:r>
        <w:rPr>
          <w:rFonts w:ascii="Cambria" w:eastAsia="Cambria" w:hAnsi="Cambria" w:cs="Cambria"/>
          <w:i/>
          <w:szCs w:val="24"/>
        </w:rPr>
        <w:t>** A redemption fee of 1.4% is applied for aption order withholding period of more than 1 month to 12 months since the SIP inception.</w:t>
      </w:r>
    </w:p>
    <w:p w14:paraId="6C5D37C1" w14:textId="77777777" w:rsidR="0006702C" w:rsidRDefault="0006702C" w:rsidP="0006702C">
      <w:pPr>
        <w:spacing w:after="100"/>
        <w:ind w:right="200"/>
        <w:jc w:val="both"/>
        <w:rPr>
          <w:rFonts w:ascii="Cambria" w:eastAsia="Cambria" w:hAnsi="Cambria" w:cs="Cambria"/>
          <w:iCs/>
          <w:szCs w:val="24"/>
        </w:rPr>
      </w:pPr>
      <w:r>
        <w:rPr>
          <w:rFonts w:ascii="Cambria" w:eastAsia="Cambria" w:hAnsi="Cambria" w:cs="Cambria"/>
          <w:iCs/>
          <w:szCs w:val="24"/>
        </w:rPr>
        <w:t xml:space="preserve">The table illustrates the fee structure associated with various services provided by VCBF-BCF. It offers valuable insights into the costs and charges related to different transactions and investment options. </w:t>
      </w:r>
    </w:p>
    <w:p w14:paraId="4F30D196" w14:textId="77777777" w:rsidR="0006702C" w:rsidRDefault="0006702C" w:rsidP="0006702C">
      <w:pPr>
        <w:spacing w:after="100"/>
        <w:ind w:right="200"/>
        <w:jc w:val="both"/>
        <w:rPr>
          <w:rFonts w:ascii="Cambria" w:eastAsia="Cambria" w:hAnsi="Cambria" w:cs="Cambria"/>
          <w:iCs/>
          <w:szCs w:val="24"/>
        </w:rPr>
      </w:pPr>
      <w:r>
        <w:rPr>
          <w:rFonts w:ascii="Cambria" w:eastAsia="Cambria" w:hAnsi="Cambria" w:cs="Cambria"/>
          <w:iCs/>
          <w:szCs w:val="24"/>
        </w:rPr>
        <w:lastRenderedPageBreak/>
        <w:t>Opening an account and accessing online trading services are offered free of charge. This encourages potential investors to easily enter the market.</w:t>
      </w:r>
    </w:p>
    <w:p w14:paraId="1EE545AE" w14:textId="77777777" w:rsidR="0006702C" w:rsidRDefault="0006702C" w:rsidP="0006702C">
      <w:pPr>
        <w:spacing w:after="100"/>
        <w:ind w:right="200"/>
        <w:jc w:val="both"/>
        <w:rPr>
          <w:rFonts w:ascii="Cambria" w:eastAsia="Cambria" w:hAnsi="Cambria" w:cs="Cambria"/>
          <w:iCs/>
          <w:szCs w:val="24"/>
        </w:rPr>
      </w:pPr>
      <w:r>
        <w:rPr>
          <w:rFonts w:ascii="Cambria" w:eastAsia="Cambria" w:hAnsi="Cambria" w:cs="Cambria"/>
          <w:iCs/>
          <w:szCs w:val="24"/>
        </w:rPr>
        <w:t>The fees for subscription orders vary based on the invested amount. Investors are charged 0.5% for investments between VND1,000,000 and VND1,000,000,000. For larger investments, ranging from VND1,000,000,000 to VND5,000,000,000, the fee reduces to 0.3%. Notably, investments exceeding VND5,000,000,000 incur no subscription fees, potentially attracting substantial investments.</w:t>
      </w:r>
    </w:p>
    <w:p w14:paraId="5CAEE40C" w14:textId="77777777" w:rsidR="0006702C" w:rsidRDefault="0006702C" w:rsidP="0006702C">
      <w:pPr>
        <w:spacing w:after="100"/>
        <w:ind w:right="200"/>
        <w:jc w:val="both"/>
        <w:rPr>
          <w:rFonts w:ascii="Cambria" w:eastAsia="Cambria" w:hAnsi="Cambria" w:cs="Cambria"/>
          <w:iCs/>
          <w:szCs w:val="24"/>
        </w:rPr>
      </w:pPr>
      <w:r>
        <w:rPr>
          <w:rFonts w:ascii="Cambria" w:eastAsia="Cambria" w:hAnsi="Cambria" w:cs="Cambria"/>
          <w:iCs/>
          <w:szCs w:val="24"/>
        </w:rPr>
        <w:t>Redemption fees depend on the holding period. Short-term holdings (1 month or less) face a higher fee of 3.0%, while long-term investors benefit from lower fees. Holding periods of 12 months to 24 months are charged 0.5%, and holding periods exceeding 24 months are exempt from redemption fees. This incentivizes long-term investment.</w:t>
      </w:r>
    </w:p>
    <w:p w14:paraId="3C6F9745" w14:textId="77777777" w:rsidR="0006702C" w:rsidRDefault="0006702C" w:rsidP="0006702C">
      <w:pPr>
        <w:spacing w:after="100"/>
        <w:ind w:right="200"/>
        <w:jc w:val="both"/>
        <w:rPr>
          <w:rFonts w:ascii="Cambria" w:eastAsia="Cambria" w:hAnsi="Cambria" w:cs="Cambria"/>
          <w:iCs/>
          <w:szCs w:val="24"/>
        </w:rPr>
      </w:pPr>
      <w:r>
        <w:rPr>
          <w:rFonts w:ascii="Cambria" w:eastAsia="Cambria" w:hAnsi="Cambria" w:cs="Cambria"/>
          <w:iCs/>
          <w:szCs w:val="24"/>
        </w:rPr>
        <w:t>The switching fee is determined by the difference in subscription fees between the destination and leaving funds during a switch. This mechanism ensures that investors are charged fairly when altering their investment portfolios.</w:t>
      </w:r>
    </w:p>
    <w:p w14:paraId="200B1606" w14:textId="77777777" w:rsidR="0006702C" w:rsidRDefault="0006702C" w:rsidP="0006702C">
      <w:pPr>
        <w:spacing w:after="100"/>
        <w:ind w:right="200"/>
        <w:jc w:val="both"/>
        <w:rPr>
          <w:rFonts w:ascii="Cambria" w:eastAsia="Cambria" w:hAnsi="Cambria" w:cs="Cambria"/>
          <w:iCs/>
          <w:szCs w:val="24"/>
        </w:rPr>
      </w:pPr>
      <w:r>
        <w:rPr>
          <w:rFonts w:ascii="Cambria" w:eastAsia="Cambria" w:hAnsi="Cambria" w:cs="Cambria"/>
          <w:iCs/>
          <w:szCs w:val="24"/>
        </w:rPr>
        <w:t>Transferring funds incurs a flat fee of VND300,000 per transaction. This cost is consistent and predictable.</w:t>
      </w:r>
    </w:p>
    <w:p w14:paraId="6458A37E" w14:textId="77777777" w:rsidR="0006702C" w:rsidRDefault="0006702C" w:rsidP="0006702C">
      <w:pPr>
        <w:spacing w:after="100"/>
        <w:ind w:right="200"/>
        <w:jc w:val="both"/>
        <w:rPr>
          <w:rFonts w:ascii="Cambria" w:eastAsia="Cambria" w:hAnsi="Cambria" w:cs="Cambria"/>
          <w:iCs/>
          <w:szCs w:val="24"/>
        </w:rPr>
      </w:pPr>
      <w:r>
        <w:rPr>
          <w:rFonts w:ascii="Cambria" w:eastAsia="Cambria" w:hAnsi="Cambria" w:cs="Cambria"/>
          <w:iCs/>
          <w:szCs w:val="24"/>
        </w:rPr>
        <w:t>Notably, subscription fees for Systematic Investment Plans</w:t>
      </w:r>
      <w:r>
        <w:rPr>
          <w:rFonts w:ascii="Cambria" w:eastAsia="Cambria" w:hAnsi="Cambria" w:cs="Cambria"/>
          <w:iCs/>
          <w:szCs w:val="24"/>
          <w:lang w:val="vi-VN"/>
        </w:rPr>
        <w:t xml:space="preserve"> (SIP)</w:t>
      </w:r>
      <w:r>
        <w:rPr>
          <w:rFonts w:ascii="Cambria" w:eastAsia="Cambria" w:hAnsi="Cambria" w:cs="Cambria"/>
          <w:iCs/>
          <w:szCs w:val="24"/>
        </w:rPr>
        <w:t xml:space="preserve"> are waived. This encourages investors to adopt a disciplined, long-term investment approach.</w:t>
      </w:r>
    </w:p>
    <w:p w14:paraId="37850545" w14:textId="77777777" w:rsidR="0006702C" w:rsidRDefault="0006702C" w:rsidP="0006702C">
      <w:pPr>
        <w:spacing w:after="100"/>
        <w:ind w:right="200"/>
        <w:jc w:val="both"/>
        <w:rPr>
          <w:rFonts w:ascii="Cambria" w:eastAsia="Cambria" w:hAnsi="Cambria" w:cs="Cambria"/>
          <w:iCs/>
          <w:szCs w:val="24"/>
        </w:rPr>
      </w:pPr>
      <w:r>
        <w:rPr>
          <w:rFonts w:ascii="Cambria" w:eastAsia="Cambria" w:hAnsi="Cambria" w:cs="Cambria"/>
          <w:iCs/>
          <w:szCs w:val="24"/>
        </w:rPr>
        <w:t>In summary, the fee structure presented in Table 3 reflects a balanced approach to incentivize different investment behaviors. It offers a mix of free services and tiered fees based on investment amounts and holding periods, fostering a conducive environment for both short-term and long-term investors.</w:t>
      </w:r>
    </w:p>
    <w:p w14:paraId="05280282" w14:textId="77777777" w:rsidR="0006702C" w:rsidRDefault="0006702C" w:rsidP="0006702C">
      <w:pPr>
        <w:pStyle w:val="Heading2"/>
        <w:spacing w:after="100"/>
        <w:rPr>
          <w:rFonts w:ascii="Arial" w:eastAsia="Cambria" w:hAnsi="Arial" w:cs="Cambria"/>
          <w:szCs w:val="24"/>
        </w:rPr>
      </w:pPr>
      <w:bookmarkStart w:id="11" w:name="_Toc168907797"/>
      <w:r>
        <w:t>3. Investment Strategy</w:t>
      </w:r>
      <w:bookmarkEnd w:id="11"/>
    </w:p>
    <w:p w14:paraId="6AF4F1EB" w14:textId="77777777" w:rsidR="0006702C" w:rsidRDefault="0006702C" w:rsidP="0006702C">
      <w:pPr>
        <w:spacing w:after="100"/>
        <w:jc w:val="both"/>
        <w:rPr>
          <w:rFonts w:ascii="Cambria" w:eastAsia="Cambria" w:hAnsi="Cambria" w:cs="Cambria"/>
          <w:color w:val="D1D5DB"/>
          <w:szCs w:val="24"/>
          <w:shd w:val="clear" w:color="auto" w:fill="444654"/>
        </w:rPr>
      </w:pPr>
      <w:r>
        <w:rPr>
          <w:rFonts w:ascii="Cambria" w:eastAsia="Cambria" w:hAnsi="Cambria" w:cs="Cambria"/>
          <w:szCs w:val="24"/>
        </w:rPr>
        <w:t xml:space="preserve">VCBF-BCF Fund is a strategic balanced fund that aims for long-term profits via principal growth and income generation. Under normal circumstances, the fund allocates investments up to 100% of net asset value (NAV) in listed stocks, mainly in stocks with large market capitalization and good liquidity. </w:t>
      </w:r>
    </w:p>
    <w:p w14:paraId="51F1A328"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lastRenderedPageBreak/>
        <w:t>Investment Goal: The investment objective of the Fund is primarily to provide medium to long-term capital appreciation. This means the fund is geared toward producing a return on its investments over an extended period rather than seeking short-term gains. The Fund follows a blend of value and growth style of investing.</w:t>
      </w:r>
    </w:p>
    <w:p w14:paraId="3E0D06D4"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Investment Strategy:</w:t>
      </w:r>
    </w:p>
    <w:p w14:paraId="14CBCFEE" w14:textId="77777777" w:rsidR="0006702C" w:rsidRDefault="0006702C" w:rsidP="0006702C">
      <w:pPr>
        <w:numPr>
          <w:ilvl w:val="0"/>
          <w:numId w:val="2"/>
        </w:numPr>
        <w:spacing w:after="100"/>
        <w:ind w:left="567"/>
        <w:jc w:val="both"/>
        <w:rPr>
          <w:rFonts w:ascii="Cambria" w:eastAsia="Cambria" w:hAnsi="Cambria" w:cs="Cambria"/>
          <w:szCs w:val="24"/>
        </w:rPr>
      </w:pPr>
      <w:r>
        <w:rPr>
          <w:rFonts w:ascii="Cambria" w:eastAsia="Cambria" w:hAnsi="Cambria" w:cs="Cambria"/>
          <w:szCs w:val="24"/>
        </w:rPr>
        <w:t>Diverse Portfolio: The Fund will primarily invest in a diversified portfolio of stocks listed on the Ho Chi Minh Stock Exchange (“HSX”) and the Ha Noi Stock Exchange (“HNX”), which have a large market capitalization and are liquid. Stocks with large market capitalization are considered as those with a market capitalization larger than the hundredth largest stock listed on the HSX. Balanced Asset Allocation: Under typical market conditions, the fund seeks a 50-50 split between stocks and fixed-income assets. This balanced approach provides a blend of growth potential (from stocks) and stability (from bonds).</w:t>
      </w:r>
    </w:p>
    <w:p w14:paraId="69F499ED" w14:textId="77777777" w:rsidR="0006702C" w:rsidRDefault="0006702C" w:rsidP="0006702C">
      <w:pPr>
        <w:numPr>
          <w:ilvl w:val="0"/>
          <w:numId w:val="2"/>
        </w:numPr>
        <w:spacing w:after="100"/>
        <w:ind w:left="567"/>
        <w:jc w:val="both"/>
        <w:rPr>
          <w:rFonts w:ascii="Cambria" w:eastAsia="Cambria" w:hAnsi="Cambria" w:cs="Cambria"/>
          <w:szCs w:val="24"/>
        </w:rPr>
      </w:pPr>
      <w:r>
        <w:rPr>
          <w:rFonts w:ascii="Cambria" w:eastAsia="Cambria" w:hAnsi="Cambria" w:cs="Cambria"/>
          <w:szCs w:val="24"/>
        </w:rPr>
        <w:t>The fund follows a blend of value and growth style of investing.</w:t>
      </w:r>
    </w:p>
    <w:p w14:paraId="67C20957" w14:textId="77777777" w:rsidR="0006702C" w:rsidRDefault="0006702C" w:rsidP="0006702C">
      <w:pPr>
        <w:numPr>
          <w:ilvl w:val="0"/>
          <w:numId w:val="2"/>
        </w:numPr>
        <w:spacing w:after="100"/>
        <w:ind w:left="567"/>
        <w:jc w:val="both"/>
        <w:rPr>
          <w:rFonts w:ascii="Cambria" w:eastAsia="Cambria" w:hAnsi="Cambria" w:cs="Cambria"/>
          <w:szCs w:val="24"/>
        </w:rPr>
      </w:pPr>
      <w:r>
        <w:rPr>
          <w:rFonts w:ascii="Cambria" w:eastAsia="Cambria" w:hAnsi="Cambria" w:cs="Cambria"/>
          <w:szCs w:val="24"/>
        </w:rPr>
        <w:t>Bottom-Up Approach:</w:t>
      </w:r>
    </w:p>
    <w:p w14:paraId="19ED2C32" w14:textId="77777777" w:rsidR="0006702C" w:rsidRDefault="0006702C" w:rsidP="0006702C">
      <w:pPr>
        <w:numPr>
          <w:ilvl w:val="1"/>
          <w:numId w:val="3"/>
        </w:numPr>
        <w:spacing w:after="100"/>
        <w:ind w:left="851"/>
        <w:jc w:val="both"/>
        <w:rPr>
          <w:rFonts w:ascii="Cambria" w:eastAsia="Cambria" w:hAnsi="Cambria" w:cs="Cambria"/>
          <w:szCs w:val="24"/>
        </w:rPr>
      </w:pPr>
      <w:r>
        <w:rPr>
          <w:rFonts w:ascii="Cambria" w:eastAsia="Cambria" w:hAnsi="Cambria" w:cs="Cambria"/>
          <w:szCs w:val="24"/>
        </w:rPr>
        <w:t>This strategy involves analyzing individual companies in great detail, from their financial health to their business strategies. The fund's investment team even meets with a company's executive board to get a comprehensive understanding.</w:t>
      </w:r>
    </w:p>
    <w:p w14:paraId="3AC5289F" w14:textId="77777777" w:rsidR="0006702C" w:rsidRDefault="0006702C" w:rsidP="0006702C">
      <w:pPr>
        <w:numPr>
          <w:ilvl w:val="1"/>
          <w:numId w:val="3"/>
        </w:numPr>
        <w:spacing w:after="100"/>
        <w:ind w:left="851"/>
        <w:jc w:val="both"/>
        <w:rPr>
          <w:rFonts w:ascii="Cambria" w:eastAsia="Cambria" w:hAnsi="Cambria" w:cs="Cambria"/>
          <w:szCs w:val="24"/>
        </w:rPr>
      </w:pPr>
      <w:r>
        <w:rPr>
          <w:rFonts w:ascii="Cambria" w:eastAsia="Cambria" w:hAnsi="Cambria" w:cs="Cambria"/>
          <w:szCs w:val="24"/>
        </w:rPr>
        <w:t>After understanding the company, the team then looks at the broader industry to understand where that company stands in relation to its peers.</w:t>
      </w:r>
    </w:p>
    <w:p w14:paraId="38B426EA" w14:textId="77777777" w:rsidR="0006702C" w:rsidRDefault="0006702C" w:rsidP="0006702C">
      <w:pPr>
        <w:numPr>
          <w:ilvl w:val="1"/>
          <w:numId w:val="3"/>
        </w:numPr>
        <w:spacing w:after="100"/>
        <w:ind w:left="851"/>
        <w:jc w:val="both"/>
        <w:rPr>
          <w:rFonts w:ascii="Cambria" w:eastAsia="Cambria" w:hAnsi="Cambria" w:cs="Cambria"/>
          <w:szCs w:val="24"/>
        </w:rPr>
      </w:pPr>
      <w:r>
        <w:rPr>
          <w:rFonts w:ascii="Cambria" w:eastAsia="Cambria" w:hAnsi="Cambria" w:cs="Cambria"/>
          <w:szCs w:val="24"/>
        </w:rPr>
        <w:t>Lastly, the macroeconomic conditions of both Vietnam and the world are considered to understand larger trends and impacts on the business.</w:t>
      </w:r>
    </w:p>
    <w:p w14:paraId="7245BFF6" w14:textId="77777777" w:rsidR="0006702C" w:rsidRDefault="0006702C" w:rsidP="0006702C">
      <w:pPr>
        <w:pStyle w:val="Heading2"/>
        <w:spacing w:after="100"/>
        <w:rPr>
          <w:rFonts w:ascii="Arial" w:eastAsia="Cambria" w:hAnsi="Arial" w:cs="Cambria"/>
          <w:szCs w:val="24"/>
        </w:rPr>
      </w:pPr>
      <w:bookmarkStart w:id="12" w:name="_Toc168907798"/>
      <w:r>
        <w:lastRenderedPageBreak/>
        <w:t>4. Portfolio Allocation and Performance</w:t>
      </w:r>
      <w:bookmarkEnd w:id="12"/>
    </w:p>
    <w:p w14:paraId="78E24237" w14:textId="74B44040" w:rsidR="0006702C" w:rsidRDefault="00000000" w:rsidP="0006702C">
      <w:pPr>
        <w:spacing w:after="100"/>
        <w:jc w:val="both"/>
      </w:pPr>
      <w:sdt>
        <w:sdtPr>
          <w:tag w:val="goog_rdk_0"/>
          <w:id w:val="1225253889"/>
        </w:sdtPr>
        <w:sdtContent/>
      </w:sdt>
      <w:r w:rsidR="0006702C">
        <w:rPr>
          <w:rFonts w:ascii="Cambria" w:eastAsia="Cambria" w:hAnsi="Cambria" w:cs="Cambria"/>
          <w:noProof/>
          <w:szCs w:val="24"/>
        </w:rPr>
        <w:drawing>
          <wp:inline distT="0" distB="0" distL="0" distR="0" wp14:anchorId="75CA007F" wp14:editId="6564351B">
            <wp:extent cx="5943600" cy="3683000"/>
            <wp:effectExtent l="0" t="0" r="0" b="0"/>
            <wp:docPr id="1810272027" name="Picture 20" descr="Biểu đ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descr="Biểu đồ"/>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83000"/>
                    </a:xfrm>
                    <a:prstGeom prst="rect">
                      <a:avLst/>
                    </a:prstGeom>
                    <a:noFill/>
                    <a:ln>
                      <a:noFill/>
                    </a:ln>
                  </pic:spPr>
                </pic:pic>
              </a:graphicData>
            </a:graphic>
          </wp:inline>
        </w:drawing>
      </w:r>
    </w:p>
    <w:p w14:paraId="1B132FF1" w14:textId="77777777" w:rsidR="0006702C" w:rsidRDefault="0006702C" w:rsidP="0006702C">
      <w:pPr>
        <w:spacing w:after="100"/>
        <w:jc w:val="center"/>
        <w:rPr>
          <w:b/>
          <w:bCs/>
          <w:lang w:val="en-US"/>
        </w:rPr>
      </w:pPr>
      <w:r>
        <w:rPr>
          <w:b/>
          <w:bCs/>
        </w:rPr>
        <w:t>Figure</w:t>
      </w:r>
      <w:r>
        <w:rPr>
          <w:b/>
          <w:bCs/>
          <w:lang w:val="vi-VN"/>
        </w:rPr>
        <w:t xml:space="preserve"> 2: </w:t>
      </w:r>
      <w:r>
        <w:rPr>
          <w:b/>
          <w:bCs/>
          <w:lang w:val="en-US"/>
        </w:rPr>
        <w:t xml:space="preserve">VCBF-BCF </w:t>
      </w:r>
      <w:r>
        <w:rPr>
          <w:b/>
          <w:bCs/>
          <w:lang w:val="vi-VN"/>
        </w:rPr>
        <w:t>Port</w:t>
      </w:r>
      <w:r>
        <w:rPr>
          <w:b/>
          <w:bCs/>
          <w:lang w:val="en-US"/>
        </w:rPr>
        <w:t>folio Allocation by Sectors</w:t>
      </w:r>
    </w:p>
    <w:p w14:paraId="4A23030C" w14:textId="77777777" w:rsidR="0006702C" w:rsidRDefault="0006702C" w:rsidP="0006702C">
      <w:pPr>
        <w:spacing w:after="100"/>
        <w:jc w:val="both"/>
        <w:rPr>
          <w:rFonts w:ascii="Cambria" w:eastAsia="Cambria" w:hAnsi="Cambria" w:cs="Cambria"/>
          <w:szCs w:val="24"/>
        </w:rPr>
      </w:pPr>
    </w:p>
    <w:p w14:paraId="3C38BCAD"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The data illustrates the fluctuating allocation percentages across different sectors within a fund's investment portfolio from the first half of 2018 to the first half of 2023.</w:t>
      </w:r>
    </w:p>
    <w:p w14:paraId="67AB001A"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 xml:space="preserve">Initially, in the first half of 2018, the “Industrial goods and services” sector enjoyed the heaviest allocation at 16.31%, which faced a steady decline until the latter half of 2019, reaching 10.59%. Interestingly, it saw a significant rebound in the latter half of 2020 with 14.70%. However, by 2021, this sector was no longer among the top-listed ones, indicating a marked shift in portfolio priorities. </w:t>
      </w:r>
      <w:sdt>
        <w:sdtPr>
          <w:tag w:val="goog_rdk_2"/>
          <w:id w:val="1718393758"/>
        </w:sdtPr>
        <w:sdtContent/>
      </w:sdt>
      <w:r>
        <w:rPr>
          <w:rFonts w:ascii="Cambria" w:eastAsia="Cambria" w:hAnsi="Cambria" w:cs="Cambria"/>
          <w:szCs w:val="24"/>
        </w:rPr>
        <w:t xml:space="preserve">This realignment can be partly attributed to the challenges in 2021. Industrial production in the third quarter confronted several hurdles due to the relentless Covid-19 pandemic, with areas housing major industrial zones being significantly affected due to extended social distancing measures. Consequently, the added value in the industry for the third quarter plummeted by 3.5% year-on-year. This trend was further mirrored in the GDP figures for Q3/2021, where the industrial and construction </w:t>
      </w:r>
      <w:r>
        <w:rPr>
          <w:rFonts w:ascii="Cambria" w:eastAsia="Cambria" w:hAnsi="Cambria" w:cs="Cambria"/>
          <w:szCs w:val="24"/>
        </w:rPr>
        <w:lastRenderedPageBreak/>
        <w:t>sector saw a decrease of 5.02%, and the service sector faced a steeper decline of 9.28% compared to the same period in the previous year.</w:t>
      </w:r>
    </w:p>
    <w:p w14:paraId="262FDBAF"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 xml:space="preserve">The 'Finance' sector maintained a stable presence throughout the period, initiating at 14.15% in early 2018 and seeing an overall increase. specially by the first half of 2021, it commanded a dominant 27.70% of the allocation, nearly doubling its stake from 2020. </w:t>
      </w:r>
      <w:sdt>
        <w:sdtPr>
          <w:tag w:val="goog_rdk_3"/>
          <w:id w:val="2144541903"/>
        </w:sdtPr>
        <w:sdtContent/>
      </w:sdt>
      <w:r>
        <w:rPr>
          <w:rFonts w:ascii="Cambria" w:eastAsia="Cambria" w:hAnsi="Cambria" w:cs="Cambria"/>
          <w:szCs w:val="24"/>
        </w:rPr>
        <w:t xml:space="preserve">This growth mirrors the broader financial landscape. In 2021, net profits of companies across the three primary exchanges (HOSE, HNX, UPCOM) surged by 49.5%. Additionally, the pre-tax profits of 29 key commercial banks, which together held a substantial 80% of the market share, escalated by nearly 32%. </w:t>
      </w:r>
    </w:p>
    <w:p w14:paraId="150B942E"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 xml:space="preserve">Another notable trend is the decline of 'Food &amp; Beverage', which started at 13.29% in 2018 and then gradually diminished to 10.00% by the first half of 2023. Simultaneously, the 'Medical' sector, which held a 6.61% allocation in early 2018, disappeared from the top sectors by late 2018, only to re-emerge briefly in the first half of 2020 at 9.60% and then vanish again. </w:t>
      </w:r>
      <w:sdt>
        <w:sdtPr>
          <w:tag w:val="goog_rdk_4"/>
          <w:id w:val="1252471901"/>
        </w:sdtPr>
        <w:sdtContent/>
      </w:sdt>
      <w:r>
        <w:rPr>
          <w:rFonts w:ascii="Cambria" w:eastAsia="Cambria" w:hAnsi="Cambria" w:cs="Cambria"/>
          <w:szCs w:val="24"/>
        </w:rPr>
        <w:t>This may hint at tactical portfolio adjustments, possibly in response to short-term market conditions, as the Consumer Price Index (CPI) for medicine and medical services in the second quarter of 2021 increased by 3.36%.</w:t>
      </w:r>
    </w:p>
    <w:p w14:paraId="784066C0"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By 2021, the investment landscape seems to have experienced a significant transformation. New sectors, such as 'Technology' and 'Real Estate', began to emerge. Technology, entering in 2020 at 9.30%, and Real Estate, starting in the latter half of 2021 with 14.60%, both remained consistent contenders in the subsequent years. The category labeled 'Uncategorized' also started to emerge in late 2021 and has been a part of the portfolio ever since.</w:t>
      </w:r>
    </w:p>
    <w:p w14:paraId="59B2BCE0"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Throughout the period, the 'Others' category maintained a high and steady presence, albeit with a gradual decrease from 39.44% in early 2018 to 22.00% by 2023, indicating a clearer strategy and more specific sectoral focus over time.</w:t>
      </w:r>
    </w:p>
    <w:p w14:paraId="3904B138"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Thus, the fund's investment strategy has evolved significantly from 2018 to 2023. There's a clear move towards sectors such as 'Finance', 'Real Estate', and 'Technology' while reducing the emphasis on previously favored sectors such as 'Industrial goods and services' and 'Food &amp; Beverage'.</w:t>
      </w:r>
    </w:p>
    <w:p w14:paraId="040F9501"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lastRenderedPageBreak/>
        <w:t>Then, we will analyze the annual profit of this fund:</w:t>
      </w:r>
    </w:p>
    <w:p w14:paraId="64D3EACD" w14:textId="65561FDB" w:rsidR="0006702C" w:rsidRDefault="0006702C" w:rsidP="0006702C">
      <w:pPr>
        <w:spacing w:after="100"/>
        <w:jc w:val="both"/>
        <w:rPr>
          <w:rFonts w:ascii="Cambria" w:eastAsia="Cambria" w:hAnsi="Cambria" w:cs="Cambria"/>
          <w:szCs w:val="24"/>
        </w:rPr>
      </w:pPr>
      <w:r>
        <w:rPr>
          <w:rFonts w:ascii="Cambria" w:eastAsia="Cambria" w:hAnsi="Cambria" w:cs="Cambria"/>
          <w:noProof/>
          <w:szCs w:val="24"/>
        </w:rPr>
        <w:drawing>
          <wp:inline distT="0" distB="0" distL="0" distR="0" wp14:anchorId="6181F7B4" wp14:editId="533CFA2B">
            <wp:extent cx="5715000" cy="3055620"/>
            <wp:effectExtent l="0" t="0" r="0" b="0"/>
            <wp:docPr id="422413833" name="Picture 19"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A graph of a number of blue bar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t="11067"/>
                    <a:stretch>
                      <a:fillRect/>
                    </a:stretch>
                  </pic:blipFill>
                  <pic:spPr bwMode="auto">
                    <a:xfrm>
                      <a:off x="0" y="0"/>
                      <a:ext cx="5715000" cy="3055620"/>
                    </a:xfrm>
                    <a:prstGeom prst="rect">
                      <a:avLst/>
                    </a:prstGeom>
                    <a:noFill/>
                    <a:ln>
                      <a:noFill/>
                    </a:ln>
                  </pic:spPr>
                </pic:pic>
              </a:graphicData>
            </a:graphic>
          </wp:inline>
        </w:drawing>
      </w:r>
    </w:p>
    <w:p w14:paraId="30E3B774" w14:textId="77777777" w:rsidR="0006702C" w:rsidRDefault="0006702C" w:rsidP="0006702C">
      <w:pPr>
        <w:spacing w:after="100"/>
        <w:jc w:val="center"/>
        <w:rPr>
          <w:rFonts w:ascii="Cambria" w:eastAsia="Cambria" w:hAnsi="Cambria" w:cs="Cambria"/>
          <w:b/>
          <w:bCs/>
          <w:szCs w:val="24"/>
        </w:rPr>
      </w:pPr>
      <w:r>
        <w:rPr>
          <w:rFonts w:ascii="Cambria" w:eastAsia="Cambria" w:hAnsi="Cambria" w:cs="Cambria"/>
          <w:b/>
          <w:bCs/>
          <w:szCs w:val="24"/>
        </w:rPr>
        <w:t>Figure 3: VCBF-BCF annual return from 2014-2022</w:t>
      </w:r>
    </w:p>
    <w:p w14:paraId="2B01B615"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The performance of VCBF-BCF from 2014 to 2022 reveals a notably volatile trajectory. After a dip in 2014, the fund exhibited resilience with three consecutive years of positive returns, peaking impressively in 2017 with a 37.39% gain. However, this growth was interrupted by a significant decline in 2018, followed by a mixture of performances in subsequent years. Particularly eye-catching is the robust 38% profit in 2021, which starkly contrasted with the significant downturn of -18.08% in 2022. While the fund has demonstrated an ability to deliver substantial profits over certain periods, the pronounced fluctuations, especially the recent decline, emphasize the need for potential investors to gauge their risk appetite and evaluate the fund's alignment with their long-term financial goals.</w:t>
      </w:r>
    </w:p>
    <w:p w14:paraId="7BB30E67" w14:textId="320434B2" w:rsidR="0006702C" w:rsidRDefault="0006702C" w:rsidP="0006702C">
      <w:pPr>
        <w:spacing w:after="100"/>
        <w:jc w:val="both"/>
        <w:rPr>
          <w:rFonts w:ascii="Cambria" w:eastAsia="Cambria" w:hAnsi="Cambria" w:cs="Cambria"/>
          <w:szCs w:val="24"/>
        </w:rPr>
      </w:pPr>
      <w:r>
        <w:rPr>
          <w:rFonts w:ascii="Cambria" w:eastAsia="Cambria" w:hAnsi="Cambria" w:cs="Cambria"/>
          <w:noProof/>
          <w:szCs w:val="24"/>
        </w:rPr>
        <w:lastRenderedPageBreak/>
        <w:drawing>
          <wp:inline distT="0" distB="0" distL="0" distR="0" wp14:anchorId="5208A010" wp14:editId="4F066B22">
            <wp:extent cx="5760720" cy="3459480"/>
            <wp:effectExtent l="0" t="0" r="0" b="7620"/>
            <wp:docPr id="620316767" name="Picture 18" descr="Ảnh có chứa văn bản, ảnh chụp màn hình, Phông chữ, số&#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16767" name="Picture 18" descr="Ảnh có chứa văn bản, ảnh chụp màn hình, Phông chữ, số&#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1F3C9043" w14:textId="77777777" w:rsidR="0006702C" w:rsidRDefault="0006702C" w:rsidP="0006702C">
      <w:pPr>
        <w:spacing w:after="100"/>
        <w:jc w:val="center"/>
        <w:rPr>
          <w:rFonts w:ascii="Cambria" w:eastAsia="Cambria" w:hAnsi="Cambria" w:cs="Cambria"/>
          <w:b/>
          <w:bCs/>
          <w:szCs w:val="24"/>
        </w:rPr>
      </w:pPr>
      <w:r>
        <w:rPr>
          <w:rFonts w:ascii="Cambria" w:eastAsia="Cambria" w:hAnsi="Cambria" w:cs="Cambria"/>
          <w:b/>
          <w:bCs/>
          <w:szCs w:val="24"/>
        </w:rPr>
        <w:t>Table 4: VCBF-BCF’s Average Annual Profit since Establishment</w:t>
      </w:r>
    </w:p>
    <w:p w14:paraId="71772424"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The fund's trajectory, as represented by its average annual profit since its establishment, indicates a generally upward-trending performance, especially in the early years. Beginning with a challenging year in 2014 at -3.49%, the fund experienced substantial improvement, reaching an average profit of 21.72% by 2017. This apex signifies a remarkable compounded growth over its existence up to that point. However, post-2017, while the average profit remains positive, there's a noticeable contraction. The average profit decreased to 14.08% in 2018, though it has managed to stay above 10% in the subsequent years, highlighting sustained yet milder performance. The dip in 2022, bringing the average down to 11.11%, suggests recent challenges or underperformance. Overall, VCBF-BCF showcases a capacity for strong growth, particularly in its earlier years, but potential investors should note the tapering momentum in recent times and consider whether the fund aligns with their investment outlook.</w:t>
      </w:r>
    </w:p>
    <w:p w14:paraId="02B27610"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 xml:space="preserve">In addition, we can assess the fund's performance against the market benchmark. VCBF-BCF, which invests in highly liquid, large-cap listed equities, references its performance to the VN100 Index. This index comprises the top 100 stocks on the HSX in terms of capitalization and liquidity. For the fund's performance, we'll examine the historical NAVPS (Net Asset </w:t>
      </w:r>
      <w:r>
        <w:rPr>
          <w:rFonts w:ascii="Cambria" w:eastAsia="Cambria" w:hAnsi="Cambria" w:cs="Cambria"/>
          <w:szCs w:val="24"/>
        </w:rPr>
        <w:lastRenderedPageBreak/>
        <w:t>Value per Share) data of VCBF-BCF. The NAVPS is determined by dividing the Net Asset Value by the fund's Outstanding Shares. This data spans from 2019 to September 22, 2023. The graph below illustrates the cumulative daily returns of both VCBF-BCF and the VN100.</w:t>
      </w:r>
    </w:p>
    <w:p w14:paraId="1367F664" w14:textId="77777777" w:rsidR="0006702C" w:rsidRDefault="0006702C" w:rsidP="0006702C">
      <w:pPr>
        <w:spacing w:after="100"/>
        <w:jc w:val="both"/>
        <w:rPr>
          <w:rFonts w:ascii="Cambria" w:eastAsia="Cambria" w:hAnsi="Cambria" w:cs="Cambria"/>
          <w:szCs w:val="24"/>
        </w:rPr>
      </w:pPr>
    </w:p>
    <w:p w14:paraId="1664251D" w14:textId="399324D3" w:rsidR="0006702C" w:rsidRDefault="0006702C" w:rsidP="0006702C">
      <w:pPr>
        <w:spacing w:after="100"/>
        <w:jc w:val="both"/>
        <w:rPr>
          <w:rFonts w:ascii="Cambria" w:eastAsia="Cambria" w:hAnsi="Cambria" w:cs="Cambria"/>
          <w:szCs w:val="24"/>
        </w:rPr>
      </w:pPr>
      <w:r>
        <w:rPr>
          <w:rFonts w:ascii="Cambria" w:eastAsia="Cambria" w:hAnsi="Cambria" w:cs="Cambria"/>
          <w:noProof/>
          <w:szCs w:val="24"/>
        </w:rPr>
        <w:drawing>
          <wp:inline distT="0" distB="0" distL="0" distR="0" wp14:anchorId="2FF16054" wp14:editId="699071A2">
            <wp:extent cx="5737860" cy="3497580"/>
            <wp:effectExtent l="0" t="0" r="0" b="7620"/>
            <wp:docPr id="134862757" name="Picture 17" descr="Ảnh có chứa văn bản, biểu đồ, hàng, Sơ đồ&#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2757" name="Picture 17" descr="Ảnh có chứa văn bản, biểu đồ, hàng, Sơ đồ&#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7860" cy="3497580"/>
                    </a:xfrm>
                    <a:prstGeom prst="rect">
                      <a:avLst/>
                    </a:prstGeom>
                    <a:noFill/>
                    <a:ln>
                      <a:noFill/>
                    </a:ln>
                  </pic:spPr>
                </pic:pic>
              </a:graphicData>
            </a:graphic>
          </wp:inline>
        </w:drawing>
      </w:r>
    </w:p>
    <w:p w14:paraId="1AF0784B" w14:textId="77777777" w:rsidR="0006702C" w:rsidRDefault="0006702C" w:rsidP="0006702C">
      <w:pPr>
        <w:spacing w:after="100"/>
        <w:jc w:val="center"/>
        <w:rPr>
          <w:rFonts w:ascii="Cambria" w:eastAsia="Cambria" w:hAnsi="Cambria" w:cs="Cambria"/>
          <w:b/>
          <w:bCs/>
          <w:szCs w:val="24"/>
        </w:rPr>
      </w:pPr>
      <w:r>
        <w:rPr>
          <w:rFonts w:ascii="Cambria" w:eastAsia="Cambria" w:hAnsi="Cambria" w:cs="Cambria"/>
          <w:b/>
          <w:bCs/>
          <w:szCs w:val="24"/>
        </w:rPr>
        <w:t>Figure 5: Cumulative Sum of Return Comparison between VCBF-BCF and VN100</w:t>
      </w:r>
    </w:p>
    <w:p w14:paraId="164395E9"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Throughout the observed period, VCBF-BCF consistently exhibited superior returns compared to the VN100 Index, with its cumulative trajectory predominantly surpassing the market. The onset of 2020 saw both the VCBF-BCF and the VN100 experience a precipitous decline, largely attributed to the market disruptions caused by the COVID-19 pandemic. However, a subsequent recovery culminated in peak performances in 2022, with both reaching cumulative returns nearing 50%. After this zenith, a slight pullback was evident, with the VN100 Index witnessing a more pronounced downturn, touching as low as -0.1%. By the conclusion of the period, VCBF-BCF sustained its strong position, with returns hovering around 50%, while the VN100 Index managed to recuperate only to about half of its peak performance.</w:t>
      </w:r>
      <w:bookmarkStart w:id="13" w:name="_heading=h.8hfbx4ymjbrz"/>
      <w:bookmarkEnd w:id="13"/>
      <w:r>
        <w:rPr>
          <w:rFonts w:ascii="Cambria" w:eastAsia="Cambria" w:hAnsi="Cambria" w:cs="Cambria"/>
          <w:szCs w:val="24"/>
        </w:rPr>
        <w:br w:type="page"/>
      </w:r>
    </w:p>
    <w:p w14:paraId="39DADC1E" w14:textId="77777777" w:rsidR="0006702C" w:rsidRDefault="0006702C" w:rsidP="0006702C">
      <w:pPr>
        <w:pStyle w:val="Heading1"/>
        <w:spacing w:after="100"/>
        <w:rPr>
          <w:rFonts w:asciiTheme="minorHAnsi" w:eastAsia="Arial" w:hAnsiTheme="minorHAnsi" w:cs="Times New Roman"/>
        </w:rPr>
      </w:pPr>
      <w:bookmarkStart w:id="14" w:name="_heading=h.rw8378m1tk66"/>
      <w:bookmarkStart w:id="15" w:name="_Toc168907799"/>
      <w:bookmarkEnd w:id="14"/>
      <w:r>
        <w:rPr>
          <w:rFonts w:eastAsia="Arial"/>
        </w:rPr>
        <w:lastRenderedPageBreak/>
        <w:t>Chapter 3: Portfolio Optimization and Comparison</w:t>
      </w:r>
      <w:bookmarkEnd w:id="15"/>
    </w:p>
    <w:p w14:paraId="1C3B47E3" w14:textId="77777777" w:rsidR="0006702C" w:rsidRDefault="0006702C" w:rsidP="0006702C">
      <w:pPr>
        <w:pStyle w:val="Heading2"/>
        <w:spacing w:after="100"/>
        <w:rPr>
          <w:rFonts w:eastAsia="Cambria"/>
        </w:rPr>
      </w:pPr>
      <w:bookmarkStart w:id="16" w:name="_Toc168907800"/>
      <w:r>
        <w:t>1. Portfolio Theory</w:t>
      </w:r>
      <w:bookmarkEnd w:id="16"/>
    </w:p>
    <w:p w14:paraId="294192E7"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The portfolio optimizing process of this report will follow closely with Markowitz’s Portfolio Theory, which will be discussed next.</w:t>
      </w:r>
    </w:p>
    <w:p w14:paraId="53AD6DAD" w14:textId="77777777" w:rsidR="0006702C" w:rsidRDefault="0006702C" w:rsidP="0006702C">
      <w:pPr>
        <w:pStyle w:val="Heading3"/>
        <w:spacing w:after="100"/>
        <w:jc w:val="both"/>
        <w:rPr>
          <w:rFonts w:ascii="Cambria" w:eastAsia="Cambria" w:hAnsi="Cambria" w:cs="Cambria"/>
          <w:sz w:val="24"/>
          <w:szCs w:val="24"/>
        </w:rPr>
      </w:pPr>
      <w:bookmarkStart w:id="17" w:name="_Toc168907801"/>
      <w:r>
        <w:rPr>
          <w:rFonts w:ascii="Cambria" w:eastAsia="Cambria" w:hAnsi="Cambria" w:cs="Cambria"/>
          <w:sz w:val="24"/>
          <w:szCs w:val="24"/>
        </w:rPr>
        <w:t>Markowitz’s Portfolio Theory</w:t>
      </w:r>
      <w:bookmarkEnd w:id="17"/>
    </w:p>
    <w:p w14:paraId="3F5563CF"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 xml:space="preserve">Markowitz’s Portfolio Theory, also known as Modern Portfolio Theory (MPT), is a groundbreaking mathematical framework that revolutionized the field of finance and investment management. Developed by Harry Markowitz in 1952, the theory introduced the concepts of diversification, asset correlation, and portfolio optimization, providing investors with a systematic approach to constructing optimal portfolios by balancing risk and return. The MPT is a practical method for selecting investments in order to maximize their overall returns within an acceptable level of risk. </w:t>
      </w:r>
    </w:p>
    <w:p w14:paraId="49E2CD7F"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Before the advent of Markowitz Portfolio Theory, investment analysis primarily focused on individual asset selection, with investors seeking to identify and invest in securities that would generate the highest returns. However, this approach did not consider the overall risk of the investment portfolio, leading to potential losses when individual assets underperformed. Harry Markowitz's seminal work, "Portfolio Selection," published in The Journal of Finance in 1952, introduced the notion that investors should consider not only the expected return of each asset but also the portfolio's overall risk. This theory's fundamental concepts include the following:</w:t>
      </w:r>
    </w:p>
    <w:p w14:paraId="1CF25E0D" w14:textId="77777777" w:rsidR="0006702C" w:rsidRDefault="0006702C" w:rsidP="0006702C">
      <w:pPr>
        <w:numPr>
          <w:ilvl w:val="0"/>
          <w:numId w:val="4"/>
        </w:numPr>
        <w:spacing w:after="100"/>
        <w:jc w:val="both"/>
        <w:rPr>
          <w:rFonts w:ascii="Times New Roman" w:eastAsia="Times New Roman" w:hAnsi="Times New Roman" w:cs="Times New Roman"/>
          <w:szCs w:val="24"/>
        </w:rPr>
      </w:pPr>
      <w:r>
        <w:rPr>
          <w:rFonts w:ascii="Cambria" w:eastAsia="Cambria" w:hAnsi="Cambria" w:cs="Cambria"/>
          <w:b/>
          <w:szCs w:val="24"/>
        </w:rPr>
        <w:t>Diversification:</w:t>
      </w:r>
      <w:r>
        <w:rPr>
          <w:rFonts w:ascii="Cambria" w:eastAsia="Cambria" w:hAnsi="Cambria" w:cs="Cambria"/>
          <w:szCs w:val="24"/>
        </w:rPr>
        <w:t xml:space="preserve"> Markowitz's Portfolio Theory emphasizes the importance of diversification in reducing risk within an investment portfolio. By investing in a variety of assets that do not move in perfect tandem, investors can minimize the impact of individual asset performance on the overall portfolio. Diversification helps spread risk across different investments, reducing the potential for significant losses when one or more assets underperform.</w:t>
      </w:r>
    </w:p>
    <w:p w14:paraId="190ED531" w14:textId="77777777" w:rsidR="0006702C" w:rsidRDefault="0006702C" w:rsidP="0006702C">
      <w:pPr>
        <w:numPr>
          <w:ilvl w:val="0"/>
          <w:numId w:val="4"/>
        </w:numPr>
        <w:spacing w:after="100"/>
        <w:jc w:val="both"/>
        <w:rPr>
          <w:rFonts w:ascii="Times New Roman" w:eastAsia="Times New Roman" w:hAnsi="Times New Roman" w:cs="Times New Roman"/>
          <w:szCs w:val="24"/>
        </w:rPr>
      </w:pPr>
      <w:r>
        <w:rPr>
          <w:rFonts w:ascii="Cambria" w:eastAsia="Cambria" w:hAnsi="Cambria" w:cs="Cambria"/>
          <w:b/>
          <w:szCs w:val="24"/>
        </w:rPr>
        <w:lastRenderedPageBreak/>
        <w:t>Asset Correlation:</w:t>
      </w:r>
      <w:r>
        <w:rPr>
          <w:rFonts w:ascii="Cambria" w:eastAsia="Cambria" w:hAnsi="Cambria" w:cs="Cambria"/>
          <w:szCs w:val="24"/>
        </w:rPr>
        <w:t xml:space="preserve"> The theory takes into account the correlation between assets in a portfolio. Asset correlation is a measure of how two or more investments move in relation to each other. If two assets are positively correlated, they tend to move in the same direction, while negatively correlated assets move in opposite directions. Markowitz demonstrated that combining assets with low or negative correlations could help reduce the overall portfolio risk without sacrificing expected returns.</w:t>
      </w:r>
    </w:p>
    <w:p w14:paraId="691582AE" w14:textId="77777777" w:rsidR="0006702C" w:rsidRDefault="0006702C" w:rsidP="0006702C">
      <w:pPr>
        <w:numPr>
          <w:ilvl w:val="0"/>
          <w:numId w:val="4"/>
        </w:numPr>
        <w:spacing w:after="100"/>
        <w:jc w:val="both"/>
        <w:rPr>
          <w:rFonts w:ascii="Times New Roman" w:eastAsia="Times New Roman" w:hAnsi="Times New Roman" w:cs="Times New Roman"/>
          <w:szCs w:val="24"/>
        </w:rPr>
      </w:pPr>
      <w:r>
        <w:rPr>
          <w:rFonts w:ascii="Cambria" w:eastAsia="Cambria" w:hAnsi="Cambria" w:cs="Cambria"/>
          <w:b/>
          <w:szCs w:val="24"/>
        </w:rPr>
        <w:t>Portfolio Optimization:</w:t>
      </w:r>
      <w:r>
        <w:rPr>
          <w:rFonts w:ascii="Cambria" w:eastAsia="Cambria" w:hAnsi="Cambria" w:cs="Cambria"/>
          <w:szCs w:val="24"/>
        </w:rPr>
        <w:t xml:space="preserve"> The central idea of Markowitz's Portfolio Theory is the concept of portfolio optimization, which involves finding the optimal combination of assets that provides the highest expected return for a given level of risk or the lowest level of risk for a given expected return. Markowitz introduced the concept of the Efficient Frontier, a curve that plots the optimal portfolios offering the best risk-return trade-offs for investors. By constructing portfolios that lie on the Efficient Frontier, investors can achieve the most favorable balance between risk and return. A graph of an arbitrarily Efficient Frontier can be shown below. All the points below this curve are possible portfolios; however, investing in one is considered undesirable because it does not maximize returns for a given level of risk.</w:t>
      </w:r>
    </w:p>
    <w:p w14:paraId="79432ACB" w14:textId="77777777" w:rsidR="0006702C" w:rsidRDefault="00000000" w:rsidP="0006702C">
      <w:pPr>
        <w:spacing w:after="100"/>
        <w:jc w:val="both"/>
        <w:rPr>
          <w:rFonts w:ascii="Cambria" w:eastAsia="Cambria" w:hAnsi="Cambria" w:cs="Cambria"/>
          <w:szCs w:val="24"/>
        </w:rPr>
      </w:pPr>
      <w:sdt>
        <w:sdtPr>
          <w:tag w:val="goog_rdk_5"/>
          <w:id w:val="-1107734102"/>
        </w:sdtPr>
        <w:sdtContent/>
      </w:sdt>
      <w:r w:rsidR="0006702C">
        <w:rPr>
          <w:rFonts w:ascii="Cambria" w:eastAsia="Cambria" w:hAnsi="Cambria" w:cs="Cambria"/>
          <w:szCs w:val="24"/>
        </w:rPr>
        <w:t>While it is one of the most important and influential theories regarding designing investment portfolios, there are several assumptions and limitations associated with Markowitz's Portfolio Theory, which as follow:</w:t>
      </w:r>
    </w:p>
    <w:p w14:paraId="20CDA8EE" w14:textId="77777777" w:rsidR="0006702C" w:rsidRDefault="0006702C" w:rsidP="0006702C">
      <w:pPr>
        <w:numPr>
          <w:ilvl w:val="0"/>
          <w:numId w:val="5"/>
        </w:numPr>
        <w:spacing w:after="100"/>
        <w:jc w:val="both"/>
        <w:rPr>
          <w:rFonts w:ascii="Cambria" w:eastAsia="Cambria" w:hAnsi="Cambria" w:cs="Cambria"/>
          <w:szCs w:val="24"/>
        </w:rPr>
      </w:pPr>
      <w:r>
        <w:rPr>
          <w:rFonts w:ascii="Cambria" w:eastAsia="Cambria" w:hAnsi="Cambria" w:cs="Cambria"/>
          <w:szCs w:val="24"/>
        </w:rPr>
        <w:t>Returns from the assets are normally distributed.</w:t>
      </w:r>
    </w:p>
    <w:p w14:paraId="0CD67D9E" w14:textId="77777777" w:rsidR="0006702C" w:rsidRDefault="0006702C" w:rsidP="0006702C">
      <w:pPr>
        <w:numPr>
          <w:ilvl w:val="0"/>
          <w:numId w:val="5"/>
        </w:numPr>
        <w:spacing w:after="100"/>
        <w:jc w:val="both"/>
        <w:rPr>
          <w:rFonts w:ascii="Cambria" w:eastAsia="Cambria" w:hAnsi="Cambria" w:cs="Cambria"/>
          <w:szCs w:val="24"/>
        </w:rPr>
      </w:pPr>
      <w:r>
        <w:rPr>
          <w:rFonts w:ascii="Cambria" w:eastAsia="Cambria" w:hAnsi="Cambria" w:cs="Cambria"/>
          <w:szCs w:val="24"/>
        </w:rPr>
        <w:t>The investor making the investment is rational and will avoid all the unnecessary risks associated.</w:t>
      </w:r>
    </w:p>
    <w:p w14:paraId="1B9DD0FF" w14:textId="77777777" w:rsidR="0006702C" w:rsidRDefault="0006702C" w:rsidP="0006702C">
      <w:pPr>
        <w:numPr>
          <w:ilvl w:val="0"/>
          <w:numId w:val="5"/>
        </w:numPr>
        <w:spacing w:after="100"/>
        <w:jc w:val="both"/>
        <w:rPr>
          <w:rFonts w:ascii="Cambria" w:eastAsia="Cambria" w:hAnsi="Cambria" w:cs="Cambria"/>
          <w:szCs w:val="24"/>
        </w:rPr>
      </w:pPr>
      <w:r>
        <w:rPr>
          <w:rFonts w:ascii="Cambria" w:eastAsia="Cambria" w:hAnsi="Cambria" w:cs="Cambria"/>
          <w:szCs w:val="24"/>
        </w:rPr>
        <w:t>Investors will give their best in order to maximize returns for all the unique situations provided.</w:t>
      </w:r>
    </w:p>
    <w:p w14:paraId="10677BC4" w14:textId="77777777" w:rsidR="0006702C" w:rsidRDefault="0006702C" w:rsidP="0006702C">
      <w:pPr>
        <w:numPr>
          <w:ilvl w:val="0"/>
          <w:numId w:val="5"/>
        </w:numPr>
        <w:spacing w:after="100"/>
        <w:jc w:val="both"/>
        <w:rPr>
          <w:rFonts w:ascii="Cambria" w:eastAsia="Cambria" w:hAnsi="Cambria" w:cs="Cambria"/>
          <w:szCs w:val="24"/>
        </w:rPr>
      </w:pPr>
      <w:r>
        <w:rPr>
          <w:rFonts w:ascii="Cambria" w:eastAsia="Cambria" w:hAnsi="Cambria" w:cs="Cambria"/>
          <w:szCs w:val="24"/>
        </w:rPr>
        <w:t>All investors have access to the same information.</w:t>
      </w:r>
    </w:p>
    <w:p w14:paraId="6D03B95C" w14:textId="77777777" w:rsidR="0006702C" w:rsidRDefault="0006702C" w:rsidP="0006702C">
      <w:pPr>
        <w:numPr>
          <w:ilvl w:val="0"/>
          <w:numId w:val="5"/>
        </w:numPr>
        <w:spacing w:after="100"/>
        <w:jc w:val="both"/>
        <w:rPr>
          <w:rFonts w:ascii="Cambria" w:eastAsia="Cambria" w:hAnsi="Cambria" w:cs="Cambria"/>
          <w:szCs w:val="24"/>
        </w:rPr>
      </w:pPr>
      <w:r>
        <w:rPr>
          <w:rFonts w:ascii="Cambria" w:eastAsia="Cambria" w:hAnsi="Cambria" w:cs="Cambria"/>
          <w:szCs w:val="24"/>
        </w:rPr>
        <w:t>The cost of taxes and trading is not considered when making decisions.</w:t>
      </w:r>
    </w:p>
    <w:p w14:paraId="42EAF03D" w14:textId="77777777" w:rsidR="0006702C" w:rsidRDefault="0006702C" w:rsidP="0006702C">
      <w:pPr>
        <w:numPr>
          <w:ilvl w:val="0"/>
          <w:numId w:val="5"/>
        </w:numPr>
        <w:spacing w:after="100"/>
        <w:jc w:val="both"/>
        <w:rPr>
          <w:rFonts w:ascii="Cambria" w:eastAsia="Cambria" w:hAnsi="Cambria" w:cs="Cambria"/>
          <w:szCs w:val="24"/>
        </w:rPr>
      </w:pPr>
      <w:r>
        <w:rPr>
          <w:rFonts w:ascii="Cambria" w:eastAsia="Cambria" w:hAnsi="Cambria" w:cs="Cambria"/>
          <w:szCs w:val="24"/>
        </w:rPr>
        <w:t>All the investors have the same views on the rate of return expected.</w:t>
      </w:r>
    </w:p>
    <w:p w14:paraId="4A0F2AB4" w14:textId="77777777" w:rsidR="0006702C" w:rsidRDefault="0006702C" w:rsidP="0006702C">
      <w:pPr>
        <w:numPr>
          <w:ilvl w:val="0"/>
          <w:numId w:val="5"/>
        </w:numPr>
        <w:spacing w:after="100"/>
        <w:jc w:val="both"/>
        <w:rPr>
          <w:rFonts w:ascii="Cambria" w:eastAsia="Cambria" w:hAnsi="Cambria" w:cs="Cambria"/>
          <w:szCs w:val="24"/>
        </w:rPr>
      </w:pPr>
      <w:r>
        <w:rPr>
          <w:rFonts w:ascii="Cambria" w:eastAsia="Cambria" w:hAnsi="Cambria" w:cs="Cambria"/>
          <w:szCs w:val="24"/>
        </w:rPr>
        <w:lastRenderedPageBreak/>
        <w:t>The single investors alone are not sizable and capable enough to influence the prices prevailing in the market.</w:t>
      </w:r>
    </w:p>
    <w:p w14:paraId="42E60D5D" w14:textId="77777777" w:rsidR="0006702C" w:rsidRDefault="0006702C" w:rsidP="0006702C">
      <w:pPr>
        <w:numPr>
          <w:ilvl w:val="0"/>
          <w:numId w:val="5"/>
        </w:numPr>
        <w:spacing w:after="100"/>
        <w:jc w:val="both"/>
        <w:rPr>
          <w:rFonts w:ascii="Cambria" w:eastAsia="Cambria" w:hAnsi="Cambria" w:cs="Cambria"/>
          <w:szCs w:val="24"/>
        </w:rPr>
      </w:pPr>
      <w:r>
        <w:rPr>
          <w:rFonts w:ascii="Cambria" w:eastAsia="Cambria" w:hAnsi="Cambria" w:cs="Cambria"/>
          <w:szCs w:val="24"/>
        </w:rPr>
        <w:t>Unlimited capital at the risk-free rate of return can be borrowed.</w:t>
      </w:r>
    </w:p>
    <w:p w14:paraId="0E9B77B0"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While these assumptions provide a solid foundation for the development of the theory, they may only sometimes hold true in the real world. Market inefficiencies, investor irrationality, taxes, and transaction costs can influence investment portfolio performance and the applicability of Markowitz’s Portfolio Theory. Additionally, the theory assumes that asset returns follow a normal distribution, which may not accurately represent the actual distribution of returns in some cases.</w:t>
      </w:r>
    </w:p>
    <w:p w14:paraId="7D4B58AD" w14:textId="77777777" w:rsidR="0006702C" w:rsidRDefault="0006702C" w:rsidP="0006702C">
      <w:pPr>
        <w:pStyle w:val="Heading3"/>
        <w:spacing w:after="100"/>
        <w:rPr>
          <w:rFonts w:eastAsia="Arial" w:cs="Times New Roman"/>
        </w:rPr>
      </w:pPr>
      <w:bookmarkStart w:id="18" w:name="_Toc168907802"/>
      <w:r>
        <w:rPr>
          <w:rFonts w:eastAsia="Arial"/>
        </w:rPr>
        <w:t>The Capital Allocation Line</w:t>
      </w:r>
      <w:bookmarkEnd w:id="18"/>
    </w:p>
    <w:p w14:paraId="4E95D876" w14:textId="77777777" w:rsidR="0006702C" w:rsidRDefault="00000000" w:rsidP="0006702C">
      <w:pPr>
        <w:spacing w:after="100"/>
        <w:jc w:val="both"/>
        <w:rPr>
          <w:rFonts w:ascii="Cambria" w:eastAsia="Cambria" w:hAnsi="Cambria" w:cs="Cambria"/>
          <w:szCs w:val="24"/>
        </w:rPr>
      </w:pPr>
      <w:sdt>
        <w:sdtPr>
          <w:tag w:val="goog_rdk_6"/>
          <w:id w:val="-2062624574"/>
        </w:sdtPr>
        <w:sdtContent/>
      </w:sdt>
      <w:r w:rsidR="0006702C">
        <w:rPr>
          <w:rFonts w:ascii="Cambria" w:eastAsia="Cambria" w:hAnsi="Cambria" w:cs="Cambria"/>
          <w:szCs w:val="24"/>
        </w:rPr>
        <w:t>The Capital Allocation Line (CAL) is a line that graphically depicts the risk-and-reward profile of assets and can be used to find the optimal portfolio. It represents the relationship between the risk and return of a combination of a risk-free asset and a risky portfolio. In other words, CAL demonstrates how an investor can allocate their capital between a risk-free asset (such as Treasury bills) and a diversified portfolio of risky assets to achieve different expected return levels based on risk tolerance.</w:t>
      </w:r>
    </w:p>
    <w:p w14:paraId="659E0B32" w14:textId="3739FC49" w:rsidR="0006702C" w:rsidRDefault="0006702C" w:rsidP="0006702C">
      <w:pPr>
        <w:spacing w:after="100"/>
        <w:jc w:val="center"/>
        <w:rPr>
          <w:rFonts w:ascii="Cambria" w:eastAsia="Cambria" w:hAnsi="Cambria" w:cs="Cambria"/>
          <w:szCs w:val="24"/>
        </w:rPr>
      </w:pPr>
      <w:r>
        <w:rPr>
          <w:rFonts w:ascii="Cambria" w:eastAsia="Cambria" w:hAnsi="Cambria" w:cs="Cambria"/>
          <w:noProof/>
          <w:szCs w:val="24"/>
        </w:rPr>
        <w:drawing>
          <wp:inline distT="0" distB="0" distL="0" distR="0" wp14:anchorId="5A093A2D" wp14:editId="3B73B51B">
            <wp:extent cx="5730240" cy="3009900"/>
            <wp:effectExtent l="0" t="0" r="3810" b="0"/>
            <wp:docPr id="490408760" name="Picture 16" descr="Ảnh có chứa văn bản, ảnh chụp màn hình, Sơ đồ, hà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08760" name="Picture 16" descr="Ảnh có chứa văn bản, ảnh chụp màn hình, Sơ đồ, hà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009900"/>
                    </a:xfrm>
                    <a:prstGeom prst="rect">
                      <a:avLst/>
                    </a:prstGeom>
                    <a:noFill/>
                    <a:ln>
                      <a:noFill/>
                    </a:ln>
                  </pic:spPr>
                </pic:pic>
              </a:graphicData>
            </a:graphic>
          </wp:inline>
        </w:drawing>
      </w:r>
    </w:p>
    <w:p w14:paraId="7B205F51" w14:textId="77777777" w:rsidR="0006702C" w:rsidRDefault="0006702C" w:rsidP="0006702C">
      <w:pPr>
        <w:spacing w:after="100"/>
        <w:jc w:val="center"/>
        <w:rPr>
          <w:rFonts w:ascii="Cambria" w:eastAsia="Cambria" w:hAnsi="Cambria" w:cs="Cambria"/>
          <w:b/>
          <w:bCs/>
          <w:szCs w:val="24"/>
        </w:rPr>
      </w:pPr>
      <w:r>
        <w:rPr>
          <w:rFonts w:ascii="Cambria" w:eastAsia="Cambria" w:hAnsi="Cambria" w:cs="Cambria"/>
          <w:b/>
          <w:bCs/>
          <w:szCs w:val="24"/>
        </w:rPr>
        <w:t>Figure 6: The Markowitz’s Portfolio Theory Efficient Frontier and CAL</w:t>
      </w:r>
    </w:p>
    <w:p w14:paraId="23F5A4AF"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lastRenderedPageBreak/>
        <w:t>As can be seen from the graph above, the CAL is a straight line that starts at the risk-free rate on the vertical axis (y-axis) and connects it to the expected return and risk (standard deviation) of the risky portfolio on the risk-return plane. The slope of the CAL represents the reward-to-variability ratio or the Sharpe ratio of the risky portfolio. The steeper the CAL, the better the risk-return trade-off of the risky portfolio. Investors can choose a point along the CAL based on their risk tolerance and investment objectives.</w:t>
      </w:r>
    </w:p>
    <w:p w14:paraId="21BB839A"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In the context of the efficient frontier, which represents a set of optimal portfolios offering the highest expected return for a given level of risk, the CAL helps identify the best possible combination of the risk-free asset and the optimal risky portfolio. The optimal combination is where the CAL is tangent to the efficient frontier, and this tangency point is referred to as the market portfolio.</w:t>
      </w:r>
    </w:p>
    <w:p w14:paraId="31B45D00" w14:textId="77777777" w:rsidR="0006702C" w:rsidRDefault="0006702C" w:rsidP="0006702C">
      <w:pPr>
        <w:pStyle w:val="Heading3"/>
        <w:spacing w:after="100"/>
        <w:rPr>
          <w:rFonts w:eastAsia="Arial" w:cs="Times New Roman"/>
        </w:rPr>
      </w:pPr>
      <w:bookmarkStart w:id="19" w:name="_Toc168907803"/>
      <w:r>
        <w:rPr>
          <w:rFonts w:eastAsia="Arial"/>
        </w:rPr>
        <w:t>Portfolio Performance Analysis</w:t>
      </w:r>
      <w:bookmarkEnd w:id="19"/>
      <w:r>
        <w:rPr>
          <w:rFonts w:eastAsia="Arial"/>
        </w:rPr>
        <w:t xml:space="preserve"> </w:t>
      </w:r>
    </w:p>
    <w:p w14:paraId="6F60895C" w14:textId="77777777" w:rsidR="0006702C" w:rsidRDefault="0006702C" w:rsidP="0006702C">
      <w:pPr>
        <w:spacing w:after="100"/>
        <w:jc w:val="both"/>
        <w:rPr>
          <w:rFonts w:ascii="Cambria" w:eastAsia="Cambria" w:hAnsi="Cambria" w:cs="Cambria"/>
          <w:szCs w:val="24"/>
        </w:rPr>
      </w:pPr>
      <w:r>
        <w:rPr>
          <w:rFonts w:ascii="Cambria" w:eastAsia="Cambria" w:hAnsi="Cambria" w:cs="Cambria"/>
          <w:b/>
          <w:szCs w:val="24"/>
        </w:rPr>
        <w:t>Alpha:</w:t>
      </w:r>
      <w:r>
        <w:rPr>
          <w:rFonts w:ascii="Cambria" w:eastAsia="Cambria" w:hAnsi="Cambria" w:cs="Cambria"/>
          <w:szCs w:val="24"/>
        </w:rPr>
        <w:t xml:space="preserve"> </w:t>
      </w:r>
      <w:sdt>
        <w:sdtPr>
          <w:tag w:val="goog_rdk_7"/>
          <w:id w:val="-1585063906"/>
        </w:sdtPr>
        <w:sdtContent/>
      </w:sdt>
      <w:r>
        <w:rPr>
          <w:rFonts w:ascii="Cambria" w:eastAsia="Cambria" w:hAnsi="Cambria" w:cs="Cambria"/>
          <w:szCs w:val="24"/>
        </w:rPr>
        <w:t>Alpha (α) is a term used in investing to describe an investment strategy's ability to beat the market or its "edge". Alpha is thus also often referred to as “excess return” or “abnormal rate of return,” which refers to the idea that markets are efficient, and so there is no way to systematically earn returns that exceed the broad market as a whole. A positive alpha indicates that the portfolio has outperformed its benchmark on a risk-adjusted basis.</w:t>
      </w:r>
    </w:p>
    <w:p w14:paraId="65828FBF" w14:textId="77777777" w:rsidR="0006702C" w:rsidRDefault="0006702C" w:rsidP="0006702C">
      <w:pPr>
        <w:spacing w:after="100"/>
        <w:jc w:val="both"/>
        <w:rPr>
          <w:rFonts w:ascii="Cambria" w:eastAsia="Cambria" w:hAnsi="Cambria" w:cs="Cambria"/>
          <w:szCs w:val="24"/>
        </w:rPr>
      </w:pPr>
      <w:r>
        <w:rPr>
          <w:rFonts w:ascii="Cambria" w:eastAsia="Cambria" w:hAnsi="Cambria" w:cs="Cambria"/>
          <w:b/>
          <w:szCs w:val="24"/>
        </w:rPr>
        <w:t>Beta:</w:t>
      </w:r>
      <w:r>
        <w:rPr>
          <w:rFonts w:ascii="Cambria" w:eastAsia="Cambria" w:hAnsi="Cambria" w:cs="Cambria"/>
          <w:szCs w:val="24"/>
        </w:rPr>
        <w:t xml:space="preserve"> </w:t>
      </w:r>
      <w:commentRangeStart w:id="20"/>
      <w:sdt>
        <w:sdtPr>
          <w:tag w:val="goog_rdk_8"/>
          <w:id w:val="518742528"/>
        </w:sdtPr>
        <w:sdtContent/>
      </w:sdt>
      <w:r>
        <w:rPr>
          <w:rFonts w:ascii="Cambria" w:eastAsia="Cambria" w:hAnsi="Cambria" w:cs="Cambria"/>
          <w:szCs w:val="24"/>
        </w:rPr>
        <w:t>Beta (β) is a measure of the volatility—or systematic risk—of a security or portfolio compared to the market as a whole (usually the S&amp;P 500).</w:t>
      </w:r>
      <w:commentRangeEnd w:id="20"/>
      <w:r>
        <w:rPr>
          <w:rStyle w:val="CommentReference"/>
          <w:sz w:val="24"/>
          <w:szCs w:val="22"/>
        </w:rPr>
        <w:commentReference w:id="20"/>
      </w:r>
      <w:r>
        <w:rPr>
          <w:rFonts w:ascii="Cambria" w:eastAsia="Cambria" w:hAnsi="Cambria" w:cs="Cambria"/>
          <w:szCs w:val="24"/>
        </w:rPr>
        <w:t xml:space="preserve"> Stocks with betas higher than 1.0 can be interpreted as more volatile than the S&amp;P 500, while a beta smaller than 1 indicates that the stock is less volatile than the market.</w:t>
      </w:r>
    </w:p>
    <w:p w14:paraId="5CD18001" w14:textId="77777777" w:rsidR="0006702C" w:rsidRDefault="0006702C" w:rsidP="0006702C">
      <w:pPr>
        <w:spacing w:after="100"/>
        <w:jc w:val="both"/>
        <w:rPr>
          <w:rFonts w:ascii="Cambria" w:eastAsia="Cambria" w:hAnsi="Cambria" w:cs="Cambria"/>
          <w:szCs w:val="24"/>
        </w:rPr>
      </w:pPr>
      <w:r>
        <w:rPr>
          <w:rFonts w:ascii="Cambria" w:eastAsia="Cambria" w:hAnsi="Cambria" w:cs="Cambria"/>
          <w:b/>
          <w:szCs w:val="24"/>
        </w:rPr>
        <w:t xml:space="preserve">Maximum drawdown: </w:t>
      </w:r>
      <w:sdt>
        <w:sdtPr>
          <w:tag w:val="goog_rdk_9"/>
          <w:id w:val="230055165"/>
        </w:sdtPr>
        <w:sdtContent/>
      </w:sdt>
      <w:r>
        <w:rPr>
          <w:rFonts w:ascii="Cambria" w:eastAsia="Cambria" w:hAnsi="Cambria" w:cs="Cambria"/>
          <w:szCs w:val="24"/>
        </w:rPr>
        <w:t>A maximum drawdown (MDD) is the maximum observed loss from a peak to a trough of a portfolio before a new peak is attained. Maximum drawdown is an indicator of downside risk over a specified time period.</w:t>
      </w:r>
    </w:p>
    <w:p w14:paraId="6C289C99" w14:textId="77777777" w:rsidR="0006702C" w:rsidRDefault="0006702C" w:rsidP="0006702C">
      <w:pPr>
        <w:spacing w:after="100"/>
        <w:jc w:val="both"/>
        <w:rPr>
          <w:rFonts w:ascii="Cambria" w:eastAsia="Cambria" w:hAnsi="Cambria" w:cs="Cambria"/>
          <w:szCs w:val="24"/>
        </w:rPr>
      </w:pPr>
      <w:r>
        <w:rPr>
          <w:rFonts w:ascii="Cambria" w:eastAsia="Cambria" w:hAnsi="Cambria" w:cs="Cambria"/>
          <w:b/>
          <w:szCs w:val="24"/>
        </w:rPr>
        <w:t>Treynor ratio:</w:t>
      </w:r>
      <w:r>
        <w:rPr>
          <w:rFonts w:ascii="Cambria" w:eastAsia="Cambria" w:hAnsi="Cambria" w:cs="Cambria"/>
          <w:szCs w:val="24"/>
        </w:rPr>
        <w:t xml:space="preserve"> </w:t>
      </w:r>
      <w:sdt>
        <w:sdtPr>
          <w:tag w:val="goog_rdk_10"/>
          <w:id w:val="1708760589"/>
        </w:sdtPr>
        <w:sdtContent/>
      </w:sdt>
      <w:r>
        <w:rPr>
          <w:rFonts w:ascii="Cambria" w:eastAsia="Cambria" w:hAnsi="Cambria" w:cs="Cambria"/>
          <w:szCs w:val="24"/>
        </w:rPr>
        <w:t>The Treynor ratio, also known as the reward-to-volatility ratio, is a performance metric for determining how much excess return was generated for each unit of risk taken on by a portfolio. Risk in the Treynor ratio refers to systematic risk as measured by a portfolio's beta</w:t>
      </w:r>
      <w:r>
        <w:rPr>
          <w:rFonts w:ascii="Cambria" w:eastAsia="Cambria" w:hAnsi="Cambria" w:cs="Cambria"/>
          <w:color w:val="111111"/>
          <w:szCs w:val="24"/>
          <w:highlight w:val="white"/>
        </w:rPr>
        <w:t xml:space="preserve">. </w:t>
      </w:r>
      <w:r>
        <w:rPr>
          <w:rFonts w:ascii="Cambria" w:eastAsia="Cambria" w:hAnsi="Cambria" w:cs="Cambria"/>
          <w:szCs w:val="24"/>
        </w:rPr>
        <w:t>A higher Treynor ratio indicates better risk-adjusted performance.</w:t>
      </w:r>
    </w:p>
    <w:p w14:paraId="6D0C8B8C"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lastRenderedPageBreak/>
        <w:t>In the next part, we will conduct an optimal portfolio using the Portfolio Theory that has been previously discussed.</w:t>
      </w:r>
    </w:p>
    <w:p w14:paraId="15525E57" w14:textId="77777777" w:rsidR="0006702C" w:rsidRDefault="0006702C" w:rsidP="0006702C">
      <w:pPr>
        <w:pStyle w:val="Heading2"/>
        <w:spacing w:after="100"/>
        <w:rPr>
          <w:rFonts w:ascii="Arial" w:eastAsia="Cambria" w:hAnsi="Arial" w:cs="Cambria"/>
          <w:szCs w:val="24"/>
        </w:rPr>
      </w:pPr>
      <w:bookmarkStart w:id="21" w:name="_Toc168907804"/>
      <w:r>
        <w:t>2. Stocks Selection</w:t>
      </w:r>
      <w:bookmarkEnd w:id="21"/>
    </w:p>
    <w:p w14:paraId="13F9F96A"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The stocks we use for our portfolio construction are chosen according to the top ten most-invested stocks in VCBF-BCF’s portfolio as reported in 2023, August. The stocks are listed in the table below, along with their proportions.</w:t>
      </w:r>
    </w:p>
    <w:tbl>
      <w:tblPr>
        <w:tblW w:w="0" w:type="auto"/>
        <w:jc w:val="center"/>
        <w:tblLook w:val="04A0" w:firstRow="1" w:lastRow="0" w:firstColumn="1" w:lastColumn="0" w:noHBand="0" w:noVBand="1"/>
      </w:tblPr>
      <w:tblGrid>
        <w:gridCol w:w="802"/>
        <w:gridCol w:w="3107"/>
        <w:gridCol w:w="995"/>
      </w:tblGrid>
      <w:tr w:rsidR="0006702C" w14:paraId="1611B9AD" w14:textId="77777777" w:rsidTr="0006702C">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E207C2"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b/>
                <w:bCs/>
                <w:color w:val="000000"/>
                <w:szCs w:val="24"/>
                <w:lang w:val="en-US"/>
              </w:rPr>
              <w:t>Stock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509CC8"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b/>
                <w:bCs/>
                <w:color w:val="000000"/>
                <w:szCs w:val="24"/>
                <w:lang w:val="en-US"/>
              </w:rPr>
              <w:t>Sector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9B6F82"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b/>
                <w:bCs/>
                <w:color w:val="000000"/>
                <w:szCs w:val="24"/>
                <w:lang w:val="en-US"/>
              </w:rPr>
              <w:t>% NAV</w:t>
            </w:r>
          </w:p>
        </w:tc>
      </w:tr>
      <w:tr w:rsidR="0006702C" w14:paraId="7E3BAFB1" w14:textId="77777777" w:rsidTr="0006702C">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0CE79B"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FPT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1E0345"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Technology and information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703F5D"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9.31</w:t>
            </w:r>
          </w:p>
        </w:tc>
      </w:tr>
      <w:tr w:rsidR="0006702C" w14:paraId="13898558" w14:textId="77777777" w:rsidTr="0006702C">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D0227E"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STB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C82C18"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Bank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5052E9"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8.86</w:t>
            </w:r>
          </w:p>
        </w:tc>
      </w:tr>
      <w:tr w:rsidR="0006702C" w14:paraId="70CEE2E9" w14:textId="77777777" w:rsidTr="0006702C">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CD4C80"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MBB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FC8192"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Bank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03AB48"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7.72</w:t>
            </w:r>
          </w:p>
        </w:tc>
      </w:tr>
      <w:tr w:rsidR="0006702C" w14:paraId="389C7D13" w14:textId="77777777" w:rsidTr="0006702C">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E40B37"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MWG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8F1F84"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Retail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B8B8F6"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6.43</w:t>
            </w:r>
          </w:p>
        </w:tc>
      </w:tr>
      <w:tr w:rsidR="0006702C" w14:paraId="0AD7F4AD" w14:textId="77777777" w:rsidTr="0006702C">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771538"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HPG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7604F3"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Building materials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A89E91"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6.33</w:t>
            </w:r>
          </w:p>
        </w:tc>
      </w:tr>
      <w:tr w:rsidR="0006702C" w14:paraId="083368CF" w14:textId="77777777" w:rsidTr="0006702C">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D24137"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VNM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1CAB31"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Food - Drinks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E04E95"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4.18</w:t>
            </w:r>
          </w:p>
        </w:tc>
      </w:tr>
      <w:tr w:rsidR="0006702C" w14:paraId="64BC4CD7" w14:textId="77777777" w:rsidTr="0006702C">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4891A6"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VIC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085139"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Real estate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20FDFB"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3.95</w:t>
            </w:r>
          </w:p>
        </w:tc>
      </w:tr>
      <w:tr w:rsidR="0006702C" w14:paraId="1BA9BF23" w14:textId="77777777" w:rsidTr="0006702C">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DCB8F6"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VTP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B07B92"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Other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8197D0"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3.86</w:t>
            </w:r>
          </w:p>
        </w:tc>
      </w:tr>
      <w:tr w:rsidR="0006702C" w14:paraId="78B86BF3" w14:textId="77777777" w:rsidTr="0006702C">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165A82"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PNJ</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9B214B"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Supportive Manufacturing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858FB96"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3.84</w:t>
            </w:r>
          </w:p>
        </w:tc>
      </w:tr>
      <w:tr w:rsidR="0006702C" w14:paraId="417512BF" w14:textId="77777777" w:rsidTr="0006702C">
        <w:trPr>
          <w:trHeight w:val="563"/>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124DE6"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VHM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435DE1"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Real estate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7534BE"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3.84</w:t>
            </w:r>
          </w:p>
        </w:tc>
      </w:tr>
      <w:tr w:rsidR="0006702C" w14:paraId="0ECBF430" w14:textId="77777777" w:rsidTr="0006702C">
        <w:trPr>
          <w:trHeight w:val="563"/>
          <w:jc w:val="center"/>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5D0C4B"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Total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AD6A18" w14:textId="77777777" w:rsidR="0006702C" w:rsidRDefault="0006702C">
            <w:pPr>
              <w:spacing w:after="100" w:line="240" w:lineRule="auto"/>
              <w:jc w:val="both"/>
              <w:rPr>
                <w:rFonts w:ascii="Times New Roman" w:eastAsia="Times New Roman" w:hAnsi="Times New Roman" w:cs="Times New Roman"/>
                <w:szCs w:val="24"/>
                <w:lang w:val="en-US"/>
              </w:rPr>
            </w:pPr>
            <w:r>
              <w:rPr>
                <w:rFonts w:ascii="Cambria" w:eastAsia="Times New Roman" w:hAnsi="Cambria" w:cs="Times New Roman"/>
                <w:color w:val="000000"/>
                <w:szCs w:val="24"/>
                <w:lang w:val="en-US"/>
              </w:rPr>
              <w:t>58.32%</w:t>
            </w:r>
          </w:p>
        </w:tc>
      </w:tr>
    </w:tbl>
    <w:p w14:paraId="41638445" w14:textId="77777777" w:rsidR="0006702C" w:rsidRDefault="0006702C" w:rsidP="0006702C">
      <w:pPr>
        <w:spacing w:after="100"/>
        <w:jc w:val="center"/>
        <w:rPr>
          <w:rFonts w:ascii="Cambria" w:eastAsia="Cambria" w:hAnsi="Cambria" w:cs="Cambria"/>
          <w:b/>
          <w:bCs/>
          <w:szCs w:val="24"/>
        </w:rPr>
      </w:pPr>
      <w:bookmarkStart w:id="22" w:name="_heading=h.yktu2x76h5mv"/>
      <w:bookmarkStart w:id="23" w:name="_heading=h.tk18yql6nzxo"/>
      <w:bookmarkEnd w:id="22"/>
      <w:bookmarkEnd w:id="23"/>
      <w:r>
        <w:rPr>
          <w:rFonts w:ascii="Cambria" w:eastAsia="Cambria" w:hAnsi="Cambria" w:cs="Cambria"/>
          <w:b/>
          <w:bCs/>
          <w:szCs w:val="24"/>
        </w:rPr>
        <w:t>Table 4: 10 Stocks with the highest weight in VCBF-BCF’s portfolio</w:t>
      </w:r>
    </w:p>
    <w:p w14:paraId="21D612B3"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lastRenderedPageBreak/>
        <w:t>From the allocation of VCBF-BCF’s portfolio, we can see that the fund is predominantly concentrated in the Banking, Real Estate, and Technology sectors, representing a significant portion of the total NAV. The highest allocation is towards FPT in the Technology and Information sector at 9.31%, closely followed by banking stocks STB and MBB. Notably, the portfolio's top ten holdings collectively account for 58.32% of the NAV, indicating a relatively high concentration. While there is diversity across sectors like Retail, Building Materials, food drinks, and Supportive Manufacturing, the emphasis on a few key sectors and stocks suggests a focused investment strategy.</w:t>
      </w:r>
    </w:p>
    <w:p w14:paraId="2C982961" w14:textId="77777777" w:rsidR="0006702C" w:rsidRDefault="0006702C" w:rsidP="0006702C">
      <w:pPr>
        <w:jc w:val="both"/>
        <w:rPr>
          <w:rFonts w:ascii="Cambria" w:eastAsia="Cambria" w:hAnsi="Cambria" w:cs="Cambria"/>
          <w:szCs w:val="24"/>
        </w:rPr>
      </w:pPr>
      <w:r>
        <w:rPr>
          <w:rFonts w:ascii="Cambria" w:eastAsia="Cambria" w:hAnsi="Cambria" w:cs="Cambria"/>
          <w:szCs w:val="24"/>
        </w:rPr>
        <w:t xml:space="preserve">The data for these ten stocks is gathered from </w:t>
      </w:r>
      <w:hyperlink r:id="rId19" w:history="1">
        <w:r>
          <w:rPr>
            <w:rStyle w:val="Hyperlink"/>
            <w:rFonts w:ascii="Cambria" w:eastAsia="Cambria" w:hAnsi="Cambria" w:cs="Cambria"/>
            <w:i/>
            <w:iCs/>
            <w:szCs w:val="24"/>
          </w:rPr>
          <w:t>simplize</w:t>
        </w:r>
      </w:hyperlink>
      <w:r>
        <w:rPr>
          <w:rFonts w:ascii="Cambria" w:eastAsia="Cambria" w:hAnsi="Cambria" w:cs="Cambria"/>
          <w:i/>
          <w:szCs w:val="24"/>
        </w:rPr>
        <w:t xml:space="preserve"> </w:t>
      </w:r>
      <w:r>
        <w:rPr>
          <w:rFonts w:ascii="Cambria" w:eastAsia="Cambria" w:hAnsi="Cambria" w:cs="Cambria"/>
          <w:szCs w:val="24"/>
        </w:rPr>
        <w:t xml:space="preserve">and dated from 25/09/2019 to 22/02/2023. The daily return of each individual stock is calculated using the logarithm formula. </w:t>
      </w:r>
    </w:p>
    <w:p w14:paraId="64784B99" w14:textId="48575A33" w:rsidR="0006702C" w:rsidRDefault="0006702C" w:rsidP="0006702C">
      <w:pPr>
        <w:jc w:val="center"/>
        <w:rPr>
          <w:rFonts w:ascii="Cambria" w:eastAsia="Cambria" w:hAnsi="Cambria" w:cs="Cambria"/>
          <w:szCs w:val="24"/>
        </w:rPr>
      </w:pPr>
      <w:r>
        <w:rPr>
          <w:rFonts w:ascii="Cambria" w:eastAsia="Cambria" w:hAnsi="Cambria" w:cs="Cambria"/>
          <w:noProof/>
          <w:szCs w:val="24"/>
        </w:rPr>
        <w:drawing>
          <wp:inline distT="0" distB="0" distL="0" distR="0" wp14:anchorId="2F09AB03" wp14:editId="60F7B123">
            <wp:extent cx="1905000" cy="640080"/>
            <wp:effectExtent l="0" t="0" r="0" b="7620"/>
            <wp:docPr id="915641440" name="Picture 15" descr="Ảnh có chứa văn bản, Phông chữ, màu trắng, thuật in má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41440" name="Picture 15" descr="Ảnh có chứa văn bản, Phông chữ, màu trắng, thuật in má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640080"/>
                    </a:xfrm>
                    <a:prstGeom prst="rect">
                      <a:avLst/>
                    </a:prstGeom>
                    <a:noFill/>
                    <a:ln>
                      <a:noFill/>
                    </a:ln>
                  </pic:spPr>
                </pic:pic>
              </a:graphicData>
            </a:graphic>
          </wp:inline>
        </w:drawing>
      </w:r>
    </w:p>
    <w:p w14:paraId="75F912DB"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The graph below shows the cumulative sum of returns for the stocks listed in VCBF-BCF’s portfolio.</w:t>
      </w:r>
    </w:p>
    <w:p w14:paraId="6F555970" w14:textId="35D9534F" w:rsidR="0006702C" w:rsidRDefault="0006702C" w:rsidP="0006702C">
      <w:pPr>
        <w:spacing w:after="100"/>
        <w:jc w:val="center"/>
        <w:rPr>
          <w:rFonts w:ascii="Cambria" w:eastAsia="Cambria" w:hAnsi="Cambria" w:cs="Cambria"/>
          <w:szCs w:val="24"/>
        </w:rPr>
      </w:pPr>
      <w:r>
        <w:rPr>
          <w:rFonts w:ascii="Cambria" w:eastAsia="Cambria" w:hAnsi="Cambria" w:cs="Cambria"/>
          <w:noProof/>
          <w:szCs w:val="24"/>
        </w:rPr>
        <w:drawing>
          <wp:inline distT="0" distB="0" distL="0" distR="0" wp14:anchorId="20F263B0" wp14:editId="0A794673">
            <wp:extent cx="5737860" cy="3497580"/>
            <wp:effectExtent l="0" t="0" r="0" b="7620"/>
            <wp:docPr id="642764953" name="Picture 14" descr="Ảnh có chứa văn bản, biểu đồ, bản đồ, Phông chữ&#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64953" name="Picture 14" descr="Ảnh có chứa văn bản, biểu đồ, bản đồ, Phông chữ&#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7860" cy="3497580"/>
                    </a:xfrm>
                    <a:prstGeom prst="rect">
                      <a:avLst/>
                    </a:prstGeom>
                    <a:noFill/>
                    <a:ln>
                      <a:noFill/>
                    </a:ln>
                  </pic:spPr>
                </pic:pic>
              </a:graphicData>
            </a:graphic>
          </wp:inline>
        </w:drawing>
      </w:r>
    </w:p>
    <w:p w14:paraId="3854FD86" w14:textId="77777777" w:rsidR="0006702C" w:rsidRDefault="0006702C" w:rsidP="0006702C">
      <w:pPr>
        <w:spacing w:after="100"/>
        <w:jc w:val="center"/>
        <w:rPr>
          <w:rFonts w:ascii="Cambria" w:eastAsia="Cambria" w:hAnsi="Cambria" w:cs="Cambria"/>
          <w:b/>
          <w:bCs/>
          <w:szCs w:val="24"/>
          <w:lang w:val="en-US"/>
        </w:rPr>
      </w:pPr>
      <w:r>
        <w:rPr>
          <w:rFonts w:ascii="Cambria" w:eastAsia="Cambria" w:hAnsi="Cambria" w:cs="Cambria"/>
          <w:b/>
          <w:bCs/>
          <w:szCs w:val="24"/>
        </w:rPr>
        <w:t>Figure 7: Cumulative Sum of Return of 10</w:t>
      </w:r>
      <w:r>
        <w:rPr>
          <w:rFonts w:ascii="Cambria" w:eastAsia="Cambria" w:hAnsi="Cambria" w:cs="Cambria"/>
          <w:b/>
          <w:bCs/>
          <w:szCs w:val="24"/>
          <w:lang w:val="vi-VN"/>
        </w:rPr>
        <w:t xml:space="preserve"> BCF’s portfolio </w:t>
      </w:r>
      <w:r>
        <w:rPr>
          <w:rFonts w:ascii="Cambria" w:eastAsia="Cambria" w:hAnsi="Cambria" w:cs="Cambria"/>
          <w:b/>
          <w:bCs/>
          <w:szCs w:val="24"/>
          <w:lang w:val="en-US"/>
        </w:rPr>
        <w:t>heaviest stocks</w:t>
      </w:r>
    </w:p>
    <w:p w14:paraId="2F8EBD72"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lastRenderedPageBreak/>
        <w:t>The entire process of our portfolio construction will be conducted in R programming language. The first step is to construct a correlation matrix to see if the portfolio’s stocks are diversified enough.</w:t>
      </w:r>
    </w:p>
    <w:p w14:paraId="120687FF" w14:textId="77777777" w:rsidR="0006702C" w:rsidRDefault="0006702C" w:rsidP="0006702C">
      <w:pPr>
        <w:pStyle w:val="Heading2"/>
        <w:spacing w:after="100"/>
        <w:rPr>
          <w:rFonts w:ascii="Arial" w:eastAsia="Cambria" w:hAnsi="Arial" w:cs="Cambria"/>
          <w:szCs w:val="24"/>
        </w:rPr>
      </w:pPr>
      <w:bookmarkStart w:id="24" w:name="_Toc168907805"/>
      <w:r>
        <w:t>3. Stocks Correlation</w:t>
      </w:r>
      <w:bookmarkStart w:id="25" w:name="_heading=h.donj3d8iia1j"/>
      <w:bookmarkEnd w:id="24"/>
      <w:bookmarkEnd w:id="25"/>
    </w:p>
    <w:p w14:paraId="1F9C035A" w14:textId="45BA1C38" w:rsidR="0006702C" w:rsidRDefault="0006702C" w:rsidP="0006702C">
      <w:pPr>
        <w:tabs>
          <w:tab w:val="left" w:pos="2813"/>
        </w:tabs>
        <w:spacing w:after="100"/>
      </w:pPr>
      <w:r>
        <w:rPr>
          <w:noProof/>
        </w:rPr>
        <w:drawing>
          <wp:anchor distT="0" distB="0" distL="114300" distR="114300" simplePos="0" relativeHeight="251659264" behindDoc="0" locked="0" layoutInCell="1" allowOverlap="1" wp14:anchorId="7DBB843D" wp14:editId="6D10F6BC">
            <wp:simplePos x="0" y="0"/>
            <wp:positionH relativeFrom="column">
              <wp:posOffset>0</wp:posOffset>
            </wp:positionH>
            <wp:positionV relativeFrom="paragraph">
              <wp:posOffset>276225</wp:posOffset>
            </wp:positionV>
            <wp:extent cx="5730875" cy="4914900"/>
            <wp:effectExtent l="0" t="0" r="3175" b="0"/>
            <wp:wrapSquare wrapText="bothSides"/>
            <wp:docPr id="1320412446" name="Picture 23" descr="Ảnh có chứa văn bản, ảnh chụp màn hình, hình vuông, số&#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12446" name="Picture 23" descr="Ảnh có chứa văn bản, ảnh chụp màn hình, hình vuông, số&#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b="809"/>
                    <a:stretch>
                      <a:fillRect/>
                    </a:stretch>
                  </pic:blipFill>
                  <pic:spPr bwMode="auto">
                    <a:xfrm>
                      <a:off x="0" y="0"/>
                      <a:ext cx="5730875" cy="4914900"/>
                    </a:xfrm>
                    <a:prstGeom prst="rect">
                      <a:avLst/>
                    </a:prstGeom>
                    <a:noFill/>
                  </pic:spPr>
                </pic:pic>
              </a:graphicData>
            </a:graphic>
            <wp14:sizeRelH relativeFrom="page">
              <wp14:pctWidth>0</wp14:pctWidth>
            </wp14:sizeRelH>
            <wp14:sizeRelV relativeFrom="page">
              <wp14:pctHeight>0</wp14:pctHeight>
            </wp14:sizeRelV>
          </wp:anchor>
        </w:drawing>
      </w:r>
    </w:p>
    <w:p w14:paraId="3F3952A3" w14:textId="77777777" w:rsidR="0006702C" w:rsidRDefault="0006702C" w:rsidP="0006702C">
      <w:pPr>
        <w:spacing w:before="240" w:after="100"/>
        <w:jc w:val="center"/>
        <w:rPr>
          <w:rFonts w:ascii="Cambria" w:eastAsia="Cambria" w:hAnsi="Cambria" w:cs="Cambria"/>
          <w:b/>
          <w:bCs/>
          <w:szCs w:val="24"/>
          <w:lang w:val="en-US"/>
        </w:rPr>
      </w:pPr>
      <w:r>
        <w:rPr>
          <w:rFonts w:ascii="Cambria" w:eastAsia="Cambria" w:hAnsi="Cambria" w:cs="Cambria"/>
          <w:b/>
          <w:bCs/>
          <w:szCs w:val="24"/>
        </w:rPr>
        <w:t>Figure 8: Correlation of 10</w:t>
      </w:r>
      <w:r>
        <w:rPr>
          <w:rFonts w:ascii="Cambria" w:eastAsia="Cambria" w:hAnsi="Cambria" w:cs="Cambria"/>
          <w:b/>
          <w:bCs/>
          <w:szCs w:val="24"/>
          <w:lang w:val="vi-VN"/>
        </w:rPr>
        <w:t xml:space="preserve"> BCF’s portfolio </w:t>
      </w:r>
      <w:r>
        <w:rPr>
          <w:rFonts w:ascii="Cambria" w:eastAsia="Cambria" w:hAnsi="Cambria" w:cs="Cambria"/>
          <w:b/>
          <w:bCs/>
          <w:szCs w:val="24"/>
          <w:lang w:val="en-US"/>
        </w:rPr>
        <w:t>heaviest stocks</w:t>
      </w:r>
    </w:p>
    <w:p w14:paraId="152400DF" w14:textId="77777777" w:rsidR="0006702C" w:rsidRDefault="0006702C" w:rsidP="0006702C">
      <w:pPr>
        <w:spacing w:after="100"/>
      </w:pPr>
      <w:r>
        <w:t>Correlation between stocks in a portfolio measures the degree to which the returns of the stocks move in tandem. A correlation coefficient of 1 implies that the returns move perfectly in sync, -1 means they move in exactly opposite directions, and a value of 0 suggests no relationship between the returns.</w:t>
      </w:r>
    </w:p>
    <w:p w14:paraId="214233B2"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lastRenderedPageBreak/>
        <w:t>A high correlation between stocks in a portfolio is generally undesirable for various reasons. Firstly, the primary reason investors hold multiple stocks in a portfolio is to benefit from diversification. If stocks are highly correlated, the diversification benefits are minimized. helps in reducing the portfolio's overall risk because different stocks or sectors may react differently to the same economic event. Secondly, if all stocks in a portfolio are highly correlated and move in the same direction, the risk is concentrated. In a downturn, if one stock suffers, it's likely that others will follow suit, leading to significant losses.</w:t>
      </w:r>
    </w:p>
    <w:p w14:paraId="03C5EE7D"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A good correlation between stocks is often below 0.7. As we can see in the heatmap above, only the two stocks, STB and MBB, have a slightly above-desirable correlation with a value of 0.72, which can be explained because these two belong to the same banking industry. The rest of the stocks have correlations below 0.7, indicating a well-diversified portfolio.</w:t>
      </w:r>
    </w:p>
    <w:p w14:paraId="5B5AD513" w14:textId="77777777" w:rsidR="0006702C" w:rsidRDefault="0006702C" w:rsidP="0006702C">
      <w:pPr>
        <w:pStyle w:val="Heading2"/>
        <w:spacing w:after="100"/>
        <w:rPr>
          <w:rFonts w:ascii="Arial" w:eastAsia="Cambria" w:hAnsi="Arial" w:cs="Cambria"/>
          <w:szCs w:val="24"/>
        </w:rPr>
      </w:pPr>
      <w:bookmarkStart w:id="26" w:name="_Toc168907806"/>
      <w:r>
        <w:t>4. Portfolio Optimization (GMV, Optimal, Equal-weight)</w:t>
      </w:r>
      <w:bookmarkEnd w:id="26"/>
    </w:p>
    <w:p w14:paraId="46AD256D" w14:textId="2C8F39AC" w:rsidR="0006702C" w:rsidRDefault="0006702C" w:rsidP="0006702C">
      <w:pPr>
        <w:spacing w:after="100"/>
        <w:rPr>
          <w:rFonts w:ascii="Cambria" w:eastAsia="Cambria" w:hAnsi="Cambria" w:cs="Cambria"/>
          <w:szCs w:val="24"/>
        </w:rPr>
      </w:pPr>
      <w:r>
        <w:rPr>
          <w:rFonts w:ascii="Cambria" w:eastAsia="Cambria" w:hAnsi="Cambria" w:cs="Cambria"/>
          <w:szCs w:val="24"/>
        </w:rPr>
        <w:t>For constructing this CML, the risk-free rate we use is the 10-year Vietnamese government bond yield, reported as 2.741% on 22/09/2023. Keep in mind that because Vietnamese stock markets prohibit short selling, this efficient frontier is constructed using long-</w:t>
      </w:r>
      <w:r>
        <w:rPr>
          <w:rFonts w:ascii="Cambria" w:eastAsia="Cambria" w:hAnsi="Cambria" w:cs="Cambria"/>
          <w:szCs w:val="24"/>
        </w:rPr>
        <w:lastRenderedPageBreak/>
        <w:t xml:space="preserve">purchase only. </w:t>
      </w:r>
      <w:r>
        <w:rPr>
          <w:rFonts w:ascii="Cambria" w:eastAsia="Cambria" w:hAnsi="Cambria" w:cs="Cambria"/>
          <w:noProof/>
          <w:szCs w:val="24"/>
        </w:rPr>
        <w:drawing>
          <wp:inline distT="0" distB="0" distL="0" distR="0" wp14:anchorId="0DE7295D" wp14:editId="25C3093B">
            <wp:extent cx="5730240" cy="4168140"/>
            <wp:effectExtent l="0" t="0" r="3810" b="3810"/>
            <wp:docPr id="1805114379" name="Picture 13" descr="Ảnh có chứa văn bản, biểu đồ, hàng, Sơ đồ&#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14379" name="Picture 13" descr="Ảnh có chứa văn bản, biểu đồ, hàng, Sơ đồ&#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168140"/>
                    </a:xfrm>
                    <a:prstGeom prst="rect">
                      <a:avLst/>
                    </a:prstGeom>
                    <a:noFill/>
                    <a:ln>
                      <a:noFill/>
                    </a:ln>
                  </pic:spPr>
                </pic:pic>
              </a:graphicData>
            </a:graphic>
          </wp:inline>
        </w:drawing>
      </w:r>
    </w:p>
    <w:p w14:paraId="7B81932C" w14:textId="77777777" w:rsidR="0006702C" w:rsidRDefault="0006702C" w:rsidP="0006702C">
      <w:pPr>
        <w:spacing w:before="240" w:after="100"/>
        <w:jc w:val="center"/>
        <w:rPr>
          <w:rFonts w:ascii="Cambria" w:eastAsia="Cambria" w:hAnsi="Cambria" w:cs="Cambria"/>
          <w:b/>
          <w:bCs/>
          <w:szCs w:val="24"/>
          <w:lang w:val="en-US"/>
        </w:rPr>
      </w:pPr>
      <w:r>
        <w:rPr>
          <w:rFonts w:ascii="Cambria" w:eastAsia="Cambria" w:hAnsi="Cambria" w:cs="Cambria"/>
          <w:b/>
          <w:bCs/>
          <w:szCs w:val="24"/>
        </w:rPr>
        <w:t>Figure 9: The Efficient Frontier of 10</w:t>
      </w:r>
      <w:r>
        <w:rPr>
          <w:rFonts w:ascii="Cambria" w:eastAsia="Cambria" w:hAnsi="Cambria" w:cs="Cambria"/>
          <w:b/>
          <w:bCs/>
          <w:szCs w:val="24"/>
          <w:lang w:val="vi-VN"/>
        </w:rPr>
        <w:t xml:space="preserve"> BCF’s portfolio </w:t>
      </w:r>
      <w:r>
        <w:rPr>
          <w:rFonts w:ascii="Cambria" w:eastAsia="Cambria" w:hAnsi="Cambria" w:cs="Cambria"/>
          <w:b/>
          <w:bCs/>
          <w:szCs w:val="24"/>
          <w:lang w:val="en-US"/>
        </w:rPr>
        <w:t>heaviest stocks</w:t>
      </w:r>
    </w:p>
    <w:p w14:paraId="34F7F140"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 xml:space="preserve">The efficient frontier of the ten stocks is shown in the graph above. The red dot in the middle of the frontier marks the GMV portfolio, known as the Global Minimum Variance Portfolio. The gray square shows the location of the EWP (Equally-Weighted Portfolio), while the blue line coming in from the bottom left corner is the Capital Market Line. Finally, the optimal portfolio is the tangent point of the frontier with the CML. </w:t>
      </w:r>
    </w:p>
    <w:p w14:paraId="26EEFE3E"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 xml:space="preserve">Next, we will delve into more details about these specific portfolio allocations. </w:t>
      </w:r>
    </w:p>
    <w:p w14:paraId="399C49C5" w14:textId="77777777" w:rsidR="0006702C" w:rsidRDefault="0006702C" w:rsidP="0006702C">
      <w:pPr>
        <w:pStyle w:val="Heading3"/>
        <w:spacing w:after="100"/>
        <w:rPr>
          <w:rFonts w:eastAsia="Arial" w:cs="Times New Roman"/>
        </w:rPr>
      </w:pPr>
      <w:bookmarkStart w:id="27" w:name="_Toc168907807"/>
      <w:r>
        <w:rPr>
          <w:rFonts w:eastAsia="Arial"/>
        </w:rPr>
        <w:t>Equally-Weighted Portfolio</w:t>
      </w:r>
      <w:bookmarkEnd w:id="27"/>
    </w:p>
    <w:p w14:paraId="3BC6DBB7"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 xml:space="preserve">The expected return of the EWP portfolio is 0.032 (or 3.2%) and a variance risk of 1.496%. Moreover, this portfolio has a CVaR of 4.161, suggesting that in the worst scenarios, the expected loss can be quite significant. In addition, VaR is a measure that provides an estimate of the maximum potential loss of a portfolio over a given time period for a given confidence </w:t>
      </w:r>
      <w:r>
        <w:rPr>
          <w:rFonts w:ascii="Cambria" w:eastAsia="Cambria" w:hAnsi="Cambria" w:cs="Cambria"/>
          <w:szCs w:val="24"/>
        </w:rPr>
        <w:lastRenderedPageBreak/>
        <w:t>interval. The EWP has a 95% VaR of 2.771 means that there are 5% that the portfolio will lose more than 2.771% over the specified time period (often a day or a year).</w:t>
      </w:r>
    </w:p>
    <w:p w14:paraId="56E7CA74" w14:textId="308F2C95" w:rsidR="0006702C" w:rsidRDefault="0006702C" w:rsidP="0006702C">
      <w:pPr>
        <w:spacing w:after="100"/>
        <w:jc w:val="center"/>
        <w:rPr>
          <w:rFonts w:ascii="Cambria" w:eastAsia="Cambria" w:hAnsi="Cambria" w:cs="Cambria"/>
          <w:szCs w:val="24"/>
        </w:rPr>
      </w:pPr>
      <w:r>
        <w:rPr>
          <w:noProof/>
        </w:rPr>
        <w:drawing>
          <wp:inline distT="0" distB="0" distL="0" distR="0" wp14:anchorId="782A80C4" wp14:editId="4645EDE1">
            <wp:extent cx="3810000" cy="3398520"/>
            <wp:effectExtent l="0" t="0" r="0" b="0"/>
            <wp:docPr id="89831839" name="Picture 12" descr="Ảnh có chứa văn bản, biểu đồ, ảnh chụp màn hình, vòng trò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1839" name="Picture 12" descr="Ảnh có chứa văn bản, biểu đồ, ảnh chụp màn hình, vòng trò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l="4465" b="14780"/>
                    <a:stretch>
                      <a:fillRect/>
                    </a:stretch>
                  </pic:blipFill>
                  <pic:spPr bwMode="auto">
                    <a:xfrm>
                      <a:off x="0" y="0"/>
                      <a:ext cx="3810000" cy="3398520"/>
                    </a:xfrm>
                    <a:prstGeom prst="rect">
                      <a:avLst/>
                    </a:prstGeom>
                    <a:noFill/>
                    <a:ln>
                      <a:noFill/>
                    </a:ln>
                  </pic:spPr>
                </pic:pic>
              </a:graphicData>
            </a:graphic>
          </wp:inline>
        </w:drawing>
      </w:r>
    </w:p>
    <w:p w14:paraId="154EAF37" w14:textId="77777777" w:rsidR="0006702C" w:rsidRDefault="0006702C" w:rsidP="0006702C">
      <w:pPr>
        <w:spacing w:before="240" w:after="100"/>
        <w:jc w:val="center"/>
        <w:rPr>
          <w:rFonts w:ascii="Cambria" w:eastAsia="Cambria" w:hAnsi="Cambria" w:cs="Cambria"/>
          <w:b/>
          <w:bCs/>
          <w:szCs w:val="24"/>
          <w:lang w:val="en-US"/>
        </w:rPr>
      </w:pPr>
      <w:r>
        <w:rPr>
          <w:rFonts w:ascii="Cambria" w:eastAsia="Cambria" w:hAnsi="Cambria" w:cs="Cambria"/>
          <w:b/>
          <w:bCs/>
          <w:szCs w:val="24"/>
        </w:rPr>
        <w:t>Figure 9: The distribution of weight of the EWP</w:t>
      </w:r>
    </w:p>
    <w:p w14:paraId="06A49A1D"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For the equally-weighted portfolio, the proportion for each stock is equally distributed. Because this portfolio has ten stickers, the weight of each individual stock is 10%.</w:t>
      </w:r>
    </w:p>
    <w:p w14:paraId="73B908CC" w14:textId="6D753003" w:rsidR="0006702C" w:rsidRDefault="0006702C" w:rsidP="0006702C">
      <w:pPr>
        <w:spacing w:after="100"/>
        <w:jc w:val="center"/>
        <w:rPr>
          <w:rFonts w:ascii="Cambria" w:eastAsia="Cambria" w:hAnsi="Cambria" w:cs="Cambria"/>
          <w:szCs w:val="24"/>
        </w:rPr>
      </w:pPr>
      <w:r>
        <w:rPr>
          <w:rFonts w:ascii="Cambria" w:eastAsia="Cambria" w:hAnsi="Cambria" w:cs="Cambria"/>
          <w:noProof/>
          <w:szCs w:val="24"/>
        </w:rPr>
        <w:lastRenderedPageBreak/>
        <w:drawing>
          <wp:inline distT="0" distB="0" distL="0" distR="0" wp14:anchorId="119AD0F3" wp14:editId="168353A3">
            <wp:extent cx="5074920" cy="3093720"/>
            <wp:effectExtent l="0" t="0" r="0" b="0"/>
            <wp:docPr id="1083345267" name="Picture 11" descr="Ảnh có chứa ảnh chụp màn hình, văn bản, biểu đồ, thiết kế&#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45267" name="Picture 11" descr="Ảnh có chứa ảnh chụp màn hình, văn bản, biểu đồ, thiết kế&#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74920" cy="3093720"/>
                    </a:xfrm>
                    <a:prstGeom prst="rect">
                      <a:avLst/>
                    </a:prstGeom>
                    <a:noFill/>
                    <a:ln>
                      <a:noFill/>
                    </a:ln>
                  </pic:spPr>
                </pic:pic>
              </a:graphicData>
            </a:graphic>
          </wp:inline>
        </w:drawing>
      </w:r>
    </w:p>
    <w:p w14:paraId="1C937824" w14:textId="77777777" w:rsidR="0006702C" w:rsidRDefault="0006702C" w:rsidP="0006702C">
      <w:pPr>
        <w:spacing w:before="240" w:after="100"/>
        <w:jc w:val="center"/>
        <w:rPr>
          <w:rFonts w:ascii="Cambria" w:eastAsia="Cambria" w:hAnsi="Cambria" w:cs="Cambria"/>
          <w:b/>
          <w:bCs/>
          <w:szCs w:val="24"/>
          <w:lang w:val="en-US"/>
        </w:rPr>
      </w:pPr>
      <w:r>
        <w:rPr>
          <w:rFonts w:ascii="Cambria" w:eastAsia="Cambria" w:hAnsi="Cambria" w:cs="Cambria"/>
          <w:b/>
          <w:bCs/>
          <w:szCs w:val="24"/>
        </w:rPr>
        <w:t>Figure 9: The distribution of weighted returns of the EWP</w:t>
      </w:r>
    </w:p>
    <w:p w14:paraId="6074C4A2"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 xml:space="preserve">The barplot above shows the weighted returns of these ten stocks, as in the contribution of each stock to the overall portfolio’s performance. In this particular portfolio, we can see the highest contributions belong to FPT, STB, MBB, and HPG, while there are four stocks that negate the return of the portfolio, which are VIC, VHM, VTP, and VNM in that order. </w:t>
      </w:r>
    </w:p>
    <w:p w14:paraId="7AA86698" w14:textId="1306382A" w:rsidR="0006702C" w:rsidRDefault="0006702C" w:rsidP="0006702C">
      <w:pPr>
        <w:spacing w:after="100"/>
        <w:jc w:val="center"/>
        <w:rPr>
          <w:rFonts w:ascii="Cambria" w:eastAsia="Cambria" w:hAnsi="Cambria" w:cs="Cambria"/>
          <w:szCs w:val="24"/>
        </w:rPr>
      </w:pPr>
      <w:r>
        <w:rPr>
          <w:noProof/>
        </w:rPr>
        <w:drawing>
          <wp:inline distT="0" distB="0" distL="0" distR="0" wp14:anchorId="7B4EA38F" wp14:editId="69EF0E58">
            <wp:extent cx="3665220" cy="3345180"/>
            <wp:effectExtent l="0" t="0" r="0" b="7620"/>
            <wp:docPr id="175201839" name="Picture 10" descr="A chart with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hart with different colored circle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l="6836" b="15079"/>
                    <a:stretch>
                      <a:fillRect/>
                    </a:stretch>
                  </pic:blipFill>
                  <pic:spPr bwMode="auto">
                    <a:xfrm>
                      <a:off x="0" y="0"/>
                      <a:ext cx="3665220" cy="3345180"/>
                    </a:xfrm>
                    <a:prstGeom prst="rect">
                      <a:avLst/>
                    </a:prstGeom>
                    <a:noFill/>
                    <a:ln>
                      <a:noFill/>
                    </a:ln>
                  </pic:spPr>
                </pic:pic>
              </a:graphicData>
            </a:graphic>
          </wp:inline>
        </w:drawing>
      </w:r>
    </w:p>
    <w:p w14:paraId="2974DD11" w14:textId="77777777" w:rsidR="0006702C" w:rsidRDefault="0006702C" w:rsidP="0006702C">
      <w:pPr>
        <w:spacing w:before="240" w:after="100"/>
        <w:jc w:val="center"/>
        <w:rPr>
          <w:rFonts w:ascii="Cambria" w:eastAsia="Cambria" w:hAnsi="Cambria" w:cs="Cambria"/>
          <w:b/>
          <w:bCs/>
          <w:szCs w:val="24"/>
          <w:lang w:val="en-US"/>
        </w:rPr>
      </w:pPr>
      <w:r>
        <w:rPr>
          <w:rFonts w:ascii="Cambria" w:eastAsia="Cambria" w:hAnsi="Cambria" w:cs="Cambria"/>
          <w:b/>
          <w:bCs/>
          <w:szCs w:val="24"/>
        </w:rPr>
        <w:lastRenderedPageBreak/>
        <w:t>Figure 10: The distribution of Variance Risk Budget of the EWP</w:t>
      </w:r>
    </w:p>
    <w:p w14:paraId="035194CB"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The pie chart shows the distribution of variance risk budgets. Generally, it is equally distributed. The highest contribution to the risk is MBB, with a value of 13.2%. Assets like STB, MWG, HPH, VTP, PNJ, and VHM also have slightly lower risk budgets, ranging between 0.095 and 0.132. This suggests that these assets play a pivotal role in contributing to the portfolio's overarching risk. On the other end of the spectrum, assets like VNM have a risk budget of 0.061, indicating a relatively smaller contribution to the portfolio's risk.</w:t>
      </w:r>
    </w:p>
    <w:p w14:paraId="6BC5EB63" w14:textId="77777777" w:rsidR="0006702C" w:rsidRDefault="0006702C" w:rsidP="0006702C">
      <w:pPr>
        <w:pStyle w:val="Heading3"/>
        <w:spacing w:before="0" w:after="100"/>
        <w:rPr>
          <w:rFonts w:eastAsia="Arial" w:cs="Times New Roman"/>
        </w:rPr>
      </w:pPr>
      <w:bookmarkStart w:id="28" w:name="_Toc168907808"/>
      <w:r>
        <w:rPr>
          <w:rFonts w:eastAsia="Arial"/>
        </w:rPr>
        <w:t>Global Minimum Variance Portfolio</w:t>
      </w:r>
      <w:bookmarkEnd w:id="28"/>
    </w:p>
    <w:p w14:paraId="22E42549"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The expected return of the GMV portfolio is 0.0028 or 0.28%. While this may seem modest at first glance, it's crucial to remember that the primary objective of the GMV portfolio is risk minimization, not return maximization. The positive return, albeit slight, indicates that the portfolio is designed to provide some growth while primarily safeguarding against excessive volatility.</w:t>
      </w:r>
    </w:p>
    <w:p w14:paraId="257736B7"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The variance is calculated at a very low value of 1.2985. Given that this is a GMV portfolio, the covariance risk is expected to be at its lowest compared to other portfolios on the efficient frontier. The CVaR, or Expected Shortfall, is calculated at 3.3548. The portfolio's 95% VaR stands at 1.9674. This metric offers a probabilistic risk assessment, suggesting that the portfolio is unlikely to incur a loss exceeding 1.9674% over a defined period at a specific confidence level. It's a snapshot of the "worst-case scenario" loss that an investor might anticipate.</w:t>
      </w:r>
    </w:p>
    <w:p w14:paraId="697AD21C" w14:textId="77777777" w:rsidR="0006702C" w:rsidRDefault="0006702C" w:rsidP="0006702C">
      <w:pPr>
        <w:spacing w:after="100"/>
        <w:jc w:val="both"/>
        <w:rPr>
          <w:rFonts w:ascii="Cambria" w:eastAsia="Cambria" w:hAnsi="Cambria" w:cs="Cambria"/>
          <w:szCs w:val="24"/>
        </w:rPr>
      </w:pPr>
    </w:p>
    <w:p w14:paraId="27DB6EE4" w14:textId="19333175" w:rsidR="0006702C" w:rsidRDefault="0006702C" w:rsidP="0006702C">
      <w:pPr>
        <w:spacing w:after="100"/>
        <w:jc w:val="center"/>
        <w:rPr>
          <w:rFonts w:ascii="Cambria" w:eastAsia="Cambria" w:hAnsi="Cambria" w:cs="Cambria"/>
          <w:szCs w:val="24"/>
        </w:rPr>
      </w:pPr>
      <w:r>
        <w:rPr>
          <w:rFonts w:ascii="Cambria" w:eastAsia="Cambria" w:hAnsi="Cambria" w:cs="Cambria"/>
          <w:noProof/>
          <w:szCs w:val="24"/>
        </w:rPr>
        <w:lastRenderedPageBreak/>
        <w:drawing>
          <wp:inline distT="0" distB="0" distL="0" distR="0" wp14:anchorId="12E5A860" wp14:editId="07004416">
            <wp:extent cx="4770120" cy="3154680"/>
            <wp:effectExtent l="0" t="0" r="0" b="7620"/>
            <wp:docPr id="2078028103" name="Picture 9" descr="Ảnh có chứa văn bản, biểu đồ, ảnh chụp màn hình, vòng trò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28103" name="Picture 9" descr="Ảnh có chứa văn bản, biểu đồ, ảnh chụp màn hình, vòng trò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l="3870" t="11975" b="18535"/>
                    <a:stretch>
                      <a:fillRect/>
                    </a:stretch>
                  </pic:blipFill>
                  <pic:spPr bwMode="auto">
                    <a:xfrm>
                      <a:off x="0" y="0"/>
                      <a:ext cx="4770120" cy="3154680"/>
                    </a:xfrm>
                    <a:prstGeom prst="rect">
                      <a:avLst/>
                    </a:prstGeom>
                    <a:noFill/>
                    <a:ln>
                      <a:noFill/>
                    </a:ln>
                  </pic:spPr>
                </pic:pic>
              </a:graphicData>
            </a:graphic>
          </wp:inline>
        </w:drawing>
      </w:r>
    </w:p>
    <w:p w14:paraId="2839D7D4" w14:textId="77777777" w:rsidR="0006702C" w:rsidRDefault="0006702C" w:rsidP="0006702C">
      <w:pPr>
        <w:spacing w:before="240" w:after="100"/>
        <w:jc w:val="center"/>
        <w:rPr>
          <w:rFonts w:ascii="Cambria" w:eastAsia="Cambria" w:hAnsi="Cambria" w:cs="Cambria"/>
          <w:b/>
          <w:bCs/>
          <w:szCs w:val="24"/>
          <w:lang w:val="en-US"/>
        </w:rPr>
      </w:pPr>
      <w:r>
        <w:rPr>
          <w:rFonts w:ascii="Cambria" w:eastAsia="Cambria" w:hAnsi="Cambria" w:cs="Cambria"/>
          <w:b/>
          <w:bCs/>
          <w:szCs w:val="24"/>
        </w:rPr>
        <w:t>Figure 12: The distribution of weights of the GMV Portfolio</w:t>
      </w:r>
    </w:p>
    <w:p w14:paraId="4E199FEE"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The pie chart illustrates the distribution of assets within a GMV portfolio, represented by their respective weightings. These weightings signify the proportion of the total portfolio value that each asset constitutes.</w:t>
      </w:r>
    </w:p>
    <w:p w14:paraId="481944FA"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Overall, the portfolio exhibits a diverse range of weightings, with VNM having the highest share at 41.3%, while STB has no allocation, indicating an absence of this asset in the portfolio.</w:t>
      </w:r>
    </w:p>
    <w:p w14:paraId="0C780AA8"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VNM dominates the portfolio with a substantial weighting of 41.3%, suggesting that it constitutes a significant portion of the portfolio's total value. VIC and FPT have weightings of 21.2% and 18.8%, respectively, indicating a substantial presence in the portfolio but not as dominant as VNM.</w:t>
      </w:r>
    </w:p>
    <w:p w14:paraId="743D8EB8"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Minor Allocations: HPH, VTP, PNJ, MWG, and VHM collectively account for the remaining 18.7% of the portfolio, with each having relatively minor contributions.</w:t>
      </w:r>
    </w:p>
    <w:p w14:paraId="789911D1"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Comparing VNM's substantial allocation to STB's absence in the portfolio, there is a stark contrast, reflecting varying levels of importance and risk exposure within the portfolio.</w:t>
      </w:r>
    </w:p>
    <w:p w14:paraId="234D6B33"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lastRenderedPageBreak/>
        <w:t>In conclusion, this distribution of Portfolio Weights showcases a diversified investment approach, with some assets like VNM playing a pivotal role in the portfolio's overall value, while others have more modest contributions. This diversification can help manage risk and potentially optimize returns.</w:t>
      </w:r>
    </w:p>
    <w:p w14:paraId="6C164922" w14:textId="4F991ABD" w:rsidR="0006702C" w:rsidRDefault="0006702C" w:rsidP="0006702C">
      <w:pPr>
        <w:spacing w:after="100"/>
        <w:jc w:val="both"/>
        <w:rPr>
          <w:rFonts w:ascii="Cambria" w:eastAsia="Cambria" w:hAnsi="Cambria" w:cs="Cambria"/>
          <w:szCs w:val="24"/>
        </w:rPr>
      </w:pPr>
      <w:r>
        <w:rPr>
          <w:rFonts w:ascii="Cambria" w:eastAsia="Cambria" w:hAnsi="Cambria" w:cs="Cambria"/>
          <w:noProof/>
          <w:szCs w:val="24"/>
        </w:rPr>
        <w:drawing>
          <wp:inline distT="0" distB="0" distL="0" distR="0" wp14:anchorId="0F79356F" wp14:editId="028A80FE">
            <wp:extent cx="5737860" cy="3497580"/>
            <wp:effectExtent l="0" t="0" r="0" b="7620"/>
            <wp:docPr id="2078851880" name="Picture 8" descr="Ảnh có chứa văn bản, ảnh chụp màn hình, biểu đồ, hà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51880" name="Picture 8" descr="Ảnh có chứa văn bản, ảnh chụp màn hình, biểu đồ, hàng&#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7860" cy="3497580"/>
                    </a:xfrm>
                    <a:prstGeom prst="rect">
                      <a:avLst/>
                    </a:prstGeom>
                    <a:noFill/>
                    <a:ln>
                      <a:noFill/>
                    </a:ln>
                  </pic:spPr>
                </pic:pic>
              </a:graphicData>
            </a:graphic>
          </wp:inline>
        </w:drawing>
      </w:r>
    </w:p>
    <w:p w14:paraId="2E0093BD" w14:textId="77777777" w:rsidR="0006702C" w:rsidRDefault="0006702C" w:rsidP="0006702C">
      <w:pPr>
        <w:spacing w:before="240" w:after="100"/>
        <w:jc w:val="center"/>
        <w:rPr>
          <w:rFonts w:ascii="Cambria" w:eastAsia="Cambria" w:hAnsi="Cambria" w:cs="Cambria"/>
          <w:b/>
          <w:bCs/>
          <w:szCs w:val="24"/>
          <w:lang w:val="en-US"/>
        </w:rPr>
      </w:pPr>
      <w:r>
        <w:rPr>
          <w:rFonts w:ascii="Cambria" w:eastAsia="Cambria" w:hAnsi="Cambria" w:cs="Cambria"/>
          <w:b/>
          <w:bCs/>
          <w:szCs w:val="24"/>
        </w:rPr>
        <w:t>Figure 12: The distribution of weighted returns of the GMV Portfolio</w:t>
      </w:r>
    </w:p>
    <w:p w14:paraId="67309333"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The pie chart illustrates the returns of different assets within a GMV portfolio, represented by their respective weights. These weighted returns provide insight into the contribution of each asset to the portfolio's overall performance.</w:t>
      </w:r>
    </w:p>
    <w:p w14:paraId="4D8BE7B0"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Overall, the returns vary significantly across the assets. While some assets have positive returns, others have negative returns, and some have no contribution at all.</w:t>
      </w:r>
    </w:p>
    <w:p w14:paraId="0B4434D1"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FPT has the highest positive weighted return at 2.289, indicating it has made a substantial positive contribution to the portfolio's performance. HPH and PNJ also have positive returns, albeit smaller.</w:t>
      </w:r>
    </w:p>
    <w:p w14:paraId="52AADC4A"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On the other hand, VNM and VIC have notably negative weighted returns of -0.537 and -1.605, respectively, signifying that they have detracted from the portfolio's overall returns.</w:t>
      </w:r>
    </w:p>
    <w:p w14:paraId="7FD1DCB8"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lastRenderedPageBreak/>
        <w:t>STB, MBB, MWG, VTP, and VHM have zero weighted returns, suggesting they neither positively nor negatively impact the portfolio's performance.</w:t>
      </w:r>
    </w:p>
    <w:p w14:paraId="310D76E1" w14:textId="77777777" w:rsidR="0006702C" w:rsidRDefault="0006702C" w:rsidP="0006702C">
      <w:pPr>
        <w:spacing w:after="100"/>
        <w:jc w:val="both"/>
        <w:rPr>
          <w:rFonts w:ascii="Cambria" w:eastAsia="Cambria" w:hAnsi="Cambria" w:cs="Cambria"/>
          <w:szCs w:val="24"/>
        </w:rPr>
      </w:pPr>
    </w:p>
    <w:p w14:paraId="6C966F46"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Comparing FPT's significant positive return to VIC's substantial negative return, there is a stark contrast in their contributions to the portfolio. This divergence in performance highlights the importance of asset selection and allocation in portfolio management.</w:t>
      </w:r>
    </w:p>
    <w:p w14:paraId="6237D2F4"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In short, this analysis of weighted returns within the global minimum variance portfolio underscores the diversity of asset performance. While some assets have contributed positively, others have detracted from the portfolio's overall returns. Effective portfolio management involves optimizing these weights to achieve the desired risk-return profile.</w:t>
      </w:r>
    </w:p>
    <w:p w14:paraId="12A4C4AB" w14:textId="77777777" w:rsidR="0006702C" w:rsidRDefault="0006702C" w:rsidP="0006702C">
      <w:pPr>
        <w:spacing w:after="100"/>
        <w:jc w:val="both"/>
        <w:rPr>
          <w:rFonts w:ascii="Cambria" w:eastAsia="Cambria" w:hAnsi="Cambria" w:cs="Cambria"/>
          <w:szCs w:val="24"/>
        </w:rPr>
      </w:pPr>
    </w:p>
    <w:p w14:paraId="5619886C" w14:textId="02421E5D" w:rsidR="0006702C" w:rsidRDefault="0006702C" w:rsidP="0006702C">
      <w:pPr>
        <w:spacing w:after="100"/>
        <w:jc w:val="center"/>
        <w:rPr>
          <w:rFonts w:ascii="Cambria" w:eastAsia="Cambria" w:hAnsi="Cambria" w:cs="Cambria"/>
          <w:szCs w:val="24"/>
        </w:rPr>
      </w:pPr>
      <w:r>
        <w:rPr>
          <w:rFonts w:ascii="Cambria" w:eastAsia="Cambria" w:hAnsi="Cambria" w:cs="Cambria"/>
          <w:noProof/>
          <w:szCs w:val="24"/>
        </w:rPr>
        <w:drawing>
          <wp:inline distT="0" distB="0" distL="0" distR="0" wp14:anchorId="38038C89" wp14:editId="3AEA4E85">
            <wp:extent cx="4792980" cy="3779520"/>
            <wp:effectExtent l="0" t="0" r="7620" b="0"/>
            <wp:docPr id="1992011956" name="Picture 7" descr="Ảnh có chứa văn bản, biểu đồ, ảnh chụp màn hình, vòng trò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11956" name="Picture 7" descr="Ảnh có chứa văn bản, biểu đồ, ảnh chụp màn hình, vòng trò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l="4727" b="16760"/>
                    <a:stretch>
                      <a:fillRect/>
                    </a:stretch>
                  </pic:blipFill>
                  <pic:spPr bwMode="auto">
                    <a:xfrm>
                      <a:off x="0" y="0"/>
                      <a:ext cx="4792980" cy="3779520"/>
                    </a:xfrm>
                    <a:prstGeom prst="rect">
                      <a:avLst/>
                    </a:prstGeom>
                    <a:noFill/>
                    <a:ln>
                      <a:noFill/>
                    </a:ln>
                  </pic:spPr>
                </pic:pic>
              </a:graphicData>
            </a:graphic>
          </wp:inline>
        </w:drawing>
      </w:r>
    </w:p>
    <w:p w14:paraId="2C9368D5" w14:textId="77777777" w:rsidR="0006702C" w:rsidRDefault="0006702C" w:rsidP="0006702C">
      <w:pPr>
        <w:spacing w:before="240" w:after="100"/>
        <w:jc w:val="center"/>
        <w:rPr>
          <w:rFonts w:ascii="Cambria" w:eastAsia="Cambria" w:hAnsi="Cambria" w:cs="Cambria"/>
          <w:b/>
          <w:bCs/>
          <w:szCs w:val="24"/>
          <w:lang w:val="en-US"/>
        </w:rPr>
      </w:pPr>
      <w:r>
        <w:rPr>
          <w:rFonts w:ascii="Cambria" w:eastAsia="Cambria" w:hAnsi="Cambria" w:cs="Cambria"/>
          <w:b/>
          <w:bCs/>
          <w:szCs w:val="24"/>
        </w:rPr>
        <w:t>Figure 13: The distribution of Variance Risk Budget of the GMV Portfolio</w:t>
      </w:r>
    </w:p>
    <w:p w14:paraId="2E2985CD"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 xml:space="preserve">The pie chart illustrates the distribution of Variance Risk Budgets across ten different assets within a global minimum variance portfolio. These percentages represent the proportion of </w:t>
      </w:r>
      <w:r>
        <w:rPr>
          <w:rFonts w:ascii="Cambria" w:eastAsia="Cambria" w:hAnsi="Cambria" w:cs="Cambria"/>
          <w:szCs w:val="24"/>
        </w:rPr>
        <w:lastRenderedPageBreak/>
        <w:t>risk allocated to each asset, contributing to the portfolio's overall risk management. Overall, the allocation of risk budgets within the portfolio demonstrates a diversified approach, with VNM having the highest risk budget at 41.3%, while STB has no risk allocation, indicating its absence in the portfolio.</w:t>
      </w:r>
    </w:p>
    <w:p w14:paraId="09FEDBD3"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VNM emerges as the asset with the highest variance risk budget at 41.3%, signifying its substantial contribution to the portfolio's overall risk.</w:t>
      </w:r>
    </w:p>
    <w:p w14:paraId="1143D2AC"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Moderate Risk Assets: VIC and FPT have variance risk budgets of 21.2% and 18.8%, respectively, indicating significant risk exposure but not to the extent of VNM.</w:t>
      </w:r>
    </w:p>
    <w:p w14:paraId="71F5B99E"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HPH, VTP, PNJ, MWG, and VHM collectively account for the remaining 17.7% of the portfolio's risk budget, with each asset having relatively minor risk contributions.</w:t>
      </w:r>
    </w:p>
    <w:p w14:paraId="7ADED7E2" w14:textId="77777777" w:rsidR="0006702C" w:rsidRDefault="0006702C" w:rsidP="0006702C">
      <w:pPr>
        <w:jc w:val="both"/>
        <w:rPr>
          <w:rFonts w:ascii="Cambria" w:eastAsia="Cambria" w:hAnsi="Cambria" w:cs="Cambria"/>
          <w:szCs w:val="24"/>
        </w:rPr>
      </w:pPr>
      <w:r>
        <w:rPr>
          <w:rFonts w:ascii="Cambria" w:eastAsia="Cambria" w:hAnsi="Cambria" w:cs="Cambria"/>
          <w:szCs w:val="24"/>
        </w:rPr>
        <w:t>In conclusion, the allocation of Variance Risk Budgets within this global minimum variance portfolio reflects a diversified risk management strategy. Some assets, such as VNM, carry significant risk exposure, while others have more moderate or minimal risk contributions. This diversified approach aims to balance risk and optimize the portfolio's overall risk-return profile.</w:t>
      </w:r>
    </w:p>
    <w:p w14:paraId="520CF21C" w14:textId="77777777" w:rsidR="0006702C" w:rsidRDefault="0006702C" w:rsidP="0006702C">
      <w:pPr>
        <w:pStyle w:val="Heading3"/>
        <w:spacing w:before="0" w:after="100"/>
        <w:rPr>
          <w:rFonts w:eastAsia="Arial" w:cs="Times New Roman"/>
        </w:rPr>
      </w:pPr>
      <w:bookmarkStart w:id="29" w:name="_Toc168907809"/>
      <w:r>
        <w:rPr>
          <w:rFonts w:eastAsia="Arial"/>
        </w:rPr>
        <w:t>Optimal Portfolio</w:t>
      </w:r>
      <w:bookmarkEnd w:id="29"/>
    </w:p>
    <w:p w14:paraId="55B1037F"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The optimal portfolio, or the tangent portfolio that is located at the tangent point between the CML and the efficient frontier, has a projected return that stands at an impressive 0.12 (or 12%). The variance is at 1.73. The CVaR of this particular combination weight of this portfolio is 4.36%, meaning in the worst-case scenarios, investors will suffer a loss of 4.36%.</w:t>
      </w:r>
    </w:p>
    <w:p w14:paraId="02E00B7D" w14:textId="77777777" w:rsidR="0006702C" w:rsidRDefault="0006702C" w:rsidP="0006702C">
      <w:pPr>
        <w:spacing w:after="100"/>
        <w:rPr>
          <w:rFonts w:ascii="Cambria" w:eastAsia="Cambria" w:hAnsi="Cambria" w:cs="Cambria"/>
          <w:szCs w:val="24"/>
        </w:rPr>
      </w:pPr>
      <w:r>
        <w:rPr>
          <w:rFonts w:ascii="Cambria" w:eastAsia="Cambria" w:hAnsi="Cambria" w:cs="Cambria"/>
          <w:szCs w:val="24"/>
        </w:rPr>
        <w:t>The 95% VaR stands at 2.67, suggesting that there is a 95% likelihood that the portfolio will not suffer a loss exceeding 2.67% over a defined period.</w:t>
      </w:r>
    </w:p>
    <w:p w14:paraId="6825608C" w14:textId="22A8A33C" w:rsidR="0006702C" w:rsidRDefault="0006702C" w:rsidP="0006702C">
      <w:pPr>
        <w:spacing w:after="100"/>
        <w:jc w:val="center"/>
        <w:rPr>
          <w:rFonts w:ascii="Cambria" w:eastAsia="Cambria" w:hAnsi="Cambria" w:cs="Cambria"/>
          <w:szCs w:val="24"/>
        </w:rPr>
      </w:pPr>
      <w:r>
        <w:rPr>
          <w:rFonts w:ascii="Cambria" w:eastAsia="Cambria" w:hAnsi="Cambria" w:cs="Cambria"/>
          <w:noProof/>
          <w:szCs w:val="24"/>
        </w:rPr>
        <w:lastRenderedPageBreak/>
        <w:drawing>
          <wp:inline distT="0" distB="0" distL="0" distR="0" wp14:anchorId="7B3339DC" wp14:editId="49D3164A">
            <wp:extent cx="4389120" cy="3360420"/>
            <wp:effectExtent l="0" t="0" r="0" b="0"/>
            <wp:docPr id="2122417410" name="Picture 6" descr="Ảnh có chứa văn bản, biểu đồ, ảnh chụp màn hình, vòng trò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17410" name="Picture 6" descr="Ảnh có chứa văn bản, biểu đồ, ảnh chụp màn hình, vòng trò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b="15280"/>
                    <a:stretch>
                      <a:fillRect/>
                    </a:stretch>
                  </pic:blipFill>
                  <pic:spPr bwMode="auto">
                    <a:xfrm>
                      <a:off x="0" y="0"/>
                      <a:ext cx="4389120" cy="3360420"/>
                    </a:xfrm>
                    <a:prstGeom prst="rect">
                      <a:avLst/>
                    </a:prstGeom>
                    <a:noFill/>
                    <a:ln>
                      <a:noFill/>
                    </a:ln>
                  </pic:spPr>
                </pic:pic>
              </a:graphicData>
            </a:graphic>
          </wp:inline>
        </w:drawing>
      </w:r>
    </w:p>
    <w:p w14:paraId="7CF5C628" w14:textId="77777777" w:rsidR="0006702C" w:rsidRDefault="0006702C" w:rsidP="0006702C">
      <w:pPr>
        <w:spacing w:before="240" w:after="100"/>
        <w:jc w:val="center"/>
        <w:rPr>
          <w:rFonts w:ascii="Cambria" w:eastAsia="Cambria" w:hAnsi="Cambria" w:cs="Cambria"/>
          <w:b/>
          <w:bCs/>
          <w:szCs w:val="24"/>
          <w:lang w:val="en-US"/>
        </w:rPr>
      </w:pPr>
      <w:r>
        <w:rPr>
          <w:rFonts w:ascii="Cambria" w:eastAsia="Cambria" w:hAnsi="Cambria" w:cs="Cambria"/>
          <w:b/>
          <w:bCs/>
          <w:szCs w:val="24"/>
        </w:rPr>
        <w:t>Figure 14: The distribution of weights of the Optimal Portfolio</w:t>
      </w:r>
    </w:p>
    <w:p w14:paraId="7BBFE191"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In the tangent portfolio, there's a striking disparity in the distribution. FPT dominates with a weight of 0.842 (or 84.2%), making it the primary constituent. This is followed by STB and HPG with weights of 0.070 (or 7%) and 0.088 (or 8.8%), respectively. All other assets, namely MBB, MWG, VNM, VIC, VTP, PNJ, and VHM, have zero weights, indicating their exclusion from the tangent portfolio. Such a concentration on a few assets underscores the portfolio's reliance on them for its performance.</w:t>
      </w:r>
    </w:p>
    <w:p w14:paraId="16701C9F" w14:textId="77777777" w:rsidR="0006702C" w:rsidRDefault="0006702C" w:rsidP="0006702C">
      <w:pPr>
        <w:spacing w:after="100"/>
        <w:jc w:val="both"/>
        <w:rPr>
          <w:rFonts w:ascii="Cambria" w:eastAsia="Cambria" w:hAnsi="Cambria" w:cs="Cambria"/>
          <w:szCs w:val="24"/>
        </w:rPr>
      </w:pPr>
    </w:p>
    <w:p w14:paraId="0B3D6D64" w14:textId="15D53BC1" w:rsidR="0006702C" w:rsidRDefault="0006702C" w:rsidP="0006702C">
      <w:pPr>
        <w:spacing w:after="100"/>
        <w:jc w:val="both"/>
        <w:rPr>
          <w:rFonts w:ascii="Cambria" w:eastAsia="Cambria" w:hAnsi="Cambria" w:cs="Cambria"/>
          <w:szCs w:val="24"/>
        </w:rPr>
      </w:pPr>
      <w:r>
        <w:rPr>
          <w:rFonts w:ascii="Cambria" w:eastAsia="Cambria" w:hAnsi="Cambria" w:cs="Cambria"/>
          <w:noProof/>
          <w:szCs w:val="24"/>
        </w:rPr>
        <w:lastRenderedPageBreak/>
        <w:drawing>
          <wp:inline distT="0" distB="0" distL="0" distR="0" wp14:anchorId="773FA1CF" wp14:editId="5689E106">
            <wp:extent cx="5737860" cy="3497580"/>
            <wp:effectExtent l="0" t="0" r="0" b="7620"/>
            <wp:docPr id="580495730" name="Picture 5" descr="Ảnh có chứa văn bản, ảnh chụp màn hình, Hình chữ nhật, biểu đồ&#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95730" name="Picture 5" descr="Ảnh có chứa văn bản, ảnh chụp màn hình, Hình chữ nhật, biểu đồ&#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7860" cy="3497580"/>
                    </a:xfrm>
                    <a:prstGeom prst="rect">
                      <a:avLst/>
                    </a:prstGeom>
                    <a:noFill/>
                    <a:ln>
                      <a:noFill/>
                    </a:ln>
                  </pic:spPr>
                </pic:pic>
              </a:graphicData>
            </a:graphic>
          </wp:inline>
        </w:drawing>
      </w:r>
    </w:p>
    <w:p w14:paraId="4E9A5697" w14:textId="77777777" w:rsidR="0006702C" w:rsidRDefault="0006702C" w:rsidP="0006702C">
      <w:pPr>
        <w:spacing w:before="240" w:after="100"/>
        <w:jc w:val="center"/>
        <w:rPr>
          <w:rFonts w:ascii="Cambria" w:eastAsia="Cambria" w:hAnsi="Cambria" w:cs="Cambria"/>
          <w:b/>
          <w:bCs/>
          <w:szCs w:val="24"/>
          <w:lang w:val="en-US"/>
        </w:rPr>
      </w:pPr>
      <w:r>
        <w:rPr>
          <w:rFonts w:ascii="Cambria" w:eastAsia="Cambria" w:hAnsi="Cambria" w:cs="Cambria"/>
          <w:b/>
          <w:bCs/>
          <w:szCs w:val="24"/>
        </w:rPr>
        <w:t>Figure 15: The distribution of weighted returns of the Optimal Portfolio</w:t>
      </w:r>
    </w:p>
    <w:p w14:paraId="11F8C0B7"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The tangent portfolio weight returns graph shows us that in the 12% of the portfolio’s return, FPT contributes more than 10% of that while HPG and STB only add approximately 1%. All the other stock weighted returns are at 0, showing no contribution to the tangent portfolio’s return at all.</w:t>
      </w:r>
    </w:p>
    <w:p w14:paraId="0F05E880" w14:textId="77777777" w:rsidR="0006702C" w:rsidRDefault="0006702C" w:rsidP="0006702C">
      <w:pPr>
        <w:spacing w:after="100"/>
        <w:jc w:val="both"/>
        <w:rPr>
          <w:rFonts w:ascii="Cambria" w:eastAsia="Cambria" w:hAnsi="Cambria" w:cs="Cambria"/>
          <w:szCs w:val="24"/>
        </w:rPr>
      </w:pPr>
    </w:p>
    <w:p w14:paraId="70B53CEE" w14:textId="5A803F01" w:rsidR="0006702C" w:rsidRDefault="0006702C" w:rsidP="0006702C">
      <w:pPr>
        <w:spacing w:after="100"/>
        <w:jc w:val="center"/>
        <w:rPr>
          <w:rFonts w:ascii="Cambria" w:eastAsia="Cambria" w:hAnsi="Cambria" w:cs="Cambria"/>
          <w:szCs w:val="24"/>
        </w:rPr>
      </w:pPr>
      <w:r>
        <w:rPr>
          <w:rFonts w:ascii="Cambria" w:eastAsia="Cambria" w:hAnsi="Cambria" w:cs="Cambria"/>
          <w:noProof/>
          <w:szCs w:val="24"/>
        </w:rPr>
        <w:lastRenderedPageBreak/>
        <w:drawing>
          <wp:inline distT="0" distB="0" distL="0" distR="0" wp14:anchorId="5F2F69D3" wp14:editId="36D153C3">
            <wp:extent cx="4389120" cy="3398520"/>
            <wp:effectExtent l="0" t="0" r="0" b="0"/>
            <wp:docPr id="546269335" name="Picture 4" descr="Ảnh có chứa văn bản, biểu đồ, ảnh chụp màn hình, vòng trò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69335" name="Picture 4" descr="Ảnh có chứa văn bản, biểu đồ, ảnh chụp màn hình, vòng trò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l="4143" b="18042"/>
                    <a:stretch>
                      <a:fillRect/>
                    </a:stretch>
                  </pic:blipFill>
                  <pic:spPr bwMode="auto">
                    <a:xfrm>
                      <a:off x="0" y="0"/>
                      <a:ext cx="4389120" cy="3398520"/>
                    </a:xfrm>
                    <a:prstGeom prst="rect">
                      <a:avLst/>
                    </a:prstGeom>
                    <a:noFill/>
                    <a:ln>
                      <a:noFill/>
                    </a:ln>
                  </pic:spPr>
                </pic:pic>
              </a:graphicData>
            </a:graphic>
          </wp:inline>
        </w:drawing>
      </w:r>
    </w:p>
    <w:p w14:paraId="73EF6CC5" w14:textId="77777777" w:rsidR="0006702C" w:rsidRDefault="0006702C" w:rsidP="0006702C">
      <w:pPr>
        <w:spacing w:before="240" w:after="100"/>
        <w:jc w:val="center"/>
        <w:rPr>
          <w:rFonts w:ascii="Cambria" w:eastAsia="Cambria" w:hAnsi="Cambria" w:cs="Cambria"/>
          <w:b/>
          <w:bCs/>
          <w:szCs w:val="24"/>
          <w:lang w:val="en-US"/>
        </w:rPr>
      </w:pPr>
      <w:r>
        <w:rPr>
          <w:rFonts w:ascii="Cambria" w:eastAsia="Cambria" w:hAnsi="Cambria" w:cs="Cambria"/>
          <w:b/>
          <w:bCs/>
          <w:szCs w:val="24"/>
        </w:rPr>
        <w:t>Figure 16: The distribution of Variance Risk Budget of the Optimal Portfolio</w:t>
      </w:r>
    </w:p>
    <w:p w14:paraId="432CBA93"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FPT carries the highest risk budget of 0.859, aligning with its dominant position in the portfolio. This is followed by STB and HPG with risk budgets of 0.066 and 0.075, respectively. The risk budgets of all other assets remain zero, which is consistent with their zero weights. This signifies that the portfolio's overall risk is primarily influenced by the three aforementioned assets.</w:t>
      </w:r>
    </w:p>
    <w:p w14:paraId="25FE80BB"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The summarized table below of all these three types of portfolios that have just been discussed:</w:t>
      </w:r>
    </w:p>
    <w:tbl>
      <w:tblPr>
        <w:tblStyle w:val="2"/>
        <w:tblW w:w="0" w:type="auto"/>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5"/>
        <w:gridCol w:w="2215"/>
        <w:gridCol w:w="2215"/>
        <w:gridCol w:w="2214"/>
      </w:tblGrid>
      <w:tr w:rsidR="0006702C" w14:paraId="60993890" w14:textId="77777777" w:rsidTr="0006702C">
        <w:trPr>
          <w:trHeight w:val="417"/>
        </w:trPr>
        <w:tc>
          <w:tcPr>
            <w:tcW w:w="2365" w:type="dxa"/>
            <w:tcBorders>
              <w:top w:val="single" w:sz="8" w:space="0" w:color="000000"/>
              <w:left w:val="single" w:sz="8" w:space="0" w:color="000000"/>
              <w:bottom w:val="single" w:sz="8" w:space="0" w:color="000000"/>
              <w:right w:val="single" w:sz="8" w:space="0" w:color="000000"/>
            </w:tcBorders>
          </w:tcPr>
          <w:p w14:paraId="2F9D4BEB" w14:textId="77777777" w:rsidR="0006702C" w:rsidRDefault="0006702C">
            <w:pPr>
              <w:widowControl w:val="0"/>
              <w:jc w:val="both"/>
              <w:rPr>
                <w:rFonts w:ascii="Cambria" w:eastAsia="Cambria" w:hAnsi="Cambria" w:cs="Cambria"/>
                <w:szCs w:val="24"/>
              </w:rPr>
            </w:pPr>
          </w:p>
        </w:tc>
        <w:tc>
          <w:tcPr>
            <w:tcW w:w="2215" w:type="dxa"/>
            <w:tcBorders>
              <w:top w:val="single" w:sz="8" w:space="0" w:color="000000"/>
              <w:left w:val="single" w:sz="8" w:space="0" w:color="000000"/>
              <w:bottom w:val="single" w:sz="8" w:space="0" w:color="000000"/>
              <w:right w:val="single" w:sz="8" w:space="0" w:color="000000"/>
            </w:tcBorders>
            <w:hideMark/>
          </w:tcPr>
          <w:p w14:paraId="407642E0" w14:textId="77777777" w:rsidR="0006702C" w:rsidRDefault="0006702C">
            <w:pPr>
              <w:widowControl w:val="0"/>
              <w:jc w:val="center"/>
              <w:rPr>
                <w:rFonts w:ascii="Cambria" w:eastAsia="Cambria" w:hAnsi="Cambria" w:cs="Cambria"/>
                <w:b/>
                <w:szCs w:val="24"/>
              </w:rPr>
            </w:pPr>
            <w:r>
              <w:rPr>
                <w:rFonts w:ascii="Cambria" w:eastAsia="Cambria" w:hAnsi="Cambria" w:cs="Cambria"/>
                <w:b/>
                <w:szCs w:val="24"/>
              </w:rPr>
              <w:t>EWP</w:t>
            </w:r>
          </w:p>
        </w:tc>
        <w:tc>
          <w:tcPr>
            <w:tcW w:w="2215" w:type="dxa"/>
            <w:tcBorders>
              <w:top w:val="single" w:sz="8" w:space="0" w:color="000000"/>
              <w:left w:val="single" w:sz="8" w:space="0" w:color="000000"/>
              <w:bottom w:val="single" w:sz="8" w:space="0" w:color="000000"/>
              <w:right w:val="single" w:sz="8" w:space="0" w:color="000000"/>
            </w:tcBorders>
            <w:hideMark/>
          </w:tcPr>
          <w:p w14:paraId="13F05050" w14:textId="77777777" w:rsidR="0006702C" w:rsidRDefault="0006702C">
            <w:pPr>
              <w:widowControl w:val="0"/>
              <w:jc w:val="center"/>
              <w:rPr>
                <w:rFonts w:ascii="Cambria" w:eastAsia="Cambria" w:hAnsi="Cambria" w:cs="Cambria"/>
                <w:b/>
                <w:szCs w:val="24"/>
              </w:rPr>
            </w:pPr>
            <w:r>
              <w:rPr>
                <w:rFonts w:ascii="Cambria" w:eastAsia="Cambria" w:hAnsi="Cambria" w:cs="Cambria"/>
                <w:b/>
                <w:szCs w:val="24"/>
              </w:rPr>
              <w:t>GMV</w:t>
            </w:r>
          </w:p>
        </w:tc>
        <w:tc>
          <w:tcPr>
            <w:tcW w:w="2214" w:type="dxa"/>
            <w:tcBorders>
              <w:top w:val="single" w:sz="8" w:space="0" w:color="000000"/>
              <w:left w:val="single" w:sz="8" w:space="0" w:color="000000"/>
              <w:bottom w:val="single" w:sz="8" w:space="0" w:color="000000"/>
              <w:right w:val="single" w:sz="8" w:space="0" w:color="000000"/>
            </w:tcBorders>
            <w:hideMark/>
          </w:tcPr>
          <w:p w14:paraId="0545C4BD" w14:textId="77777777" w:rsidR="0006702C" w:rsidRDefault="0006702C">
            <w:pPr>
              <w:widowControl w:val="0"/>
              <w:jc w:val="center"/>
              <w:rPr>
                <w:rFonts w:ascii="Cambria" w:eastAsia="Cambria" w:hAnsi="Cambria" w:cs="Cambria"/>
                <w:b/>
                <w:szCs w:val="24"/>
              </w:rPr>
            </w:pPr>
            <w:r>
              <w:rPr>
                <w:rFonts w:ascii="Cambria" w:eastAsia="Cambria" w:hAnsi="Cambria" w:cs="Cambria"/>
                <w:b/>
                <w:szCs w:val="24"/>
              </w:rPr>
              <w:t>Optimal</w:t>
            </w:r>
          </w:p>
        </w:tc>
      </w:tr>
      <w:tr w:rsidR="0006702C" w14:paraId="484EFE5F" w14:textId="77777777" w:rsidTr="0006702C">
        <w:trPr>
          <w:trHeight w:val="421"/>
        </w:trPr>
        <w:tc>
          <w:tcPr>
            <w:tcW w:w="2365" w:type="dxa"/>
            <w:tcBorders>
              <w:top w:val="single" w:sz="8" w:space="0" w:color="000000"/>
              <w:left w:val="single" w:sz="8" w:space="0" w:color="000000"/>
              <w:bottom w:val="single" w:sz="8" w:space="0" w:color="000000"/>
              <w:right w:val="single" w:sz="8" w:space="0" w:color="000000"/>
            </w:tcBorders>
            <w:hideMark/>
          </w:tcPr>
          <w:p w14:paraId="711BC51A" w14:textId="77777777" w:rsidR="0006702C" w:rsidRDefault="0006702C">
            <w:pPr>
              <w:widowControl w:val="0"/>
              <w:jc w:val="both"/>
              <w:rPr>
                <w:rFonts w:ascii="Cambria" w:eastAsia="Cambria" w:hAnsi="Cambria" w:cs="Cambria"/>
                <w:b/>
                <w:szCs w:val="24"/>
              </w:rPr>
            </w:pPr>
            <w:r>
              <w:rPr>
                <w:rFonts w:ascii="Cambria" w:eastAsia="Cambria" w:hAnsi="Cambria" w:cs="Cambria"/>
                <w:b/>
                <w:szCs w:val="24"/>
              </w:rPr>
              <w:t>Expected return</w:t>
            </w:r>
          </w:p>
        </w:tc>
        <w:tc>
          <w:tcPr>
            <w:tcW w:w="2215" w:type="dxa"/>
            <w:tcBorders>
              <w:top w:val="single" w:sz="8" w:space="0" w:color="000000"/>
              <w:left w:val="single" w:sz="8" w:space="0" w:color="000000"/>
              <w:bottom w:val="single" w:sz="8" w:space="0" w:color="000000"/>
              <w:right w:val="single" w:sz="8" w:space="0" w:color="000000"/>
            </w:tcBorders>
            <w:hideMark/>
          </w:tcPr>
          <w:p w14:paraId="516559A6" w14:textId="77777777" w:rsidR="0006702C" w:rsidRDefault="0006702C">
            <w:pPr>
              <w:widowControl w:val="0"/>
              <w:jc w:val="both"/>
              <w:rPr>
                <w:rFonts w:ascii="Cambria" w:eastAsia="Cambria" w:hAnsi="Cambria" w:cs="Cambria"/>
                <w:szCs w:val="24"/>
              </w:rPr>
            </w:pPr>
            <w:r>
              <w:rPr>
                <w:rFonts w:ascii="Cambria" w:eastAsia="Cambria" w:hAnsi="Cambria" w:cs="Cambria"/>
                <w:szCs w:val="24"/>
              </w:rPr>
              <w:t>0.032%</w:t>
            </w:r>
          </w:p>
        </w:tc>
        <w:tc>
          <w:tcPr>
            <w:tcW w:w="2215" w:type="dxa"/>
            <w:tcBorders>
              <w:top w:val="single" w:sz="8" w:space="0" w:color="000000"/>
              <w:left w:val="single" w:sz="8" w:space="0" w:color="000000"/>
              <w:bottom w:val="single" w:sz="8" w:space="0" w:color="000000"/>
              <w:right w:val="single" w:sz="8" w:space="0" w:color="000000"/>
            </w:tcBorders>
            <w:hideMark/>
          </w:tcPr>
          <w:p w14:paraId="382D2207" w14:textId="77777777" w:rsidR="0006702C" w:rsidRDefault="0006702C">
            <w:pPr>
              <w:widowControl w:val="0"/>
              <w:jc w:val="both"/>
              <w:rPr>
                <w:rFonts w:ascii="Cambria" w:eastAsia="Cambria" w:hAnsi="Cambria" w:cs="Cambria"/>
                <w:szCs w:val="24"/>
              </w:rPr>
            </w:pPr>
            <w:r>
              <w:rPr>
                <w:rFonts w:ascii="Cambria" w:eastAsia="Cambria" w:hAnsi="Cambria" w:cs="Cambria"/>
                <w:szCs w:val="24"/>
              </w:rPr>
              <w:t>0.0028%</w:t>
            </w:r>
          </w:p>
        </w:tc>
        <w:tc>
          <w:tcPr>
            <w:tcW w:w="2214" w:type="dxa"/>
            <w:tcBorders>
              <w:top w:val="single" w:sz="8" w:space="0" w:color="000000"/>
              <w:left w:val="single" w:sz="8" w:space="0" w:color="000000"/>
              <w:bottom w:val="single" w:sz="8" w:space="0" w:color="000000"/>
              <w:right w:val="single" w:sz="8" w:space="0" w:color="000000"/>
            </w:tcBorders>
            <w:hideMark/>
          </w:tcPr>
          <w:p w14:paraId="367F2F86" w14:textId="77777777" w:rsidR="0006702C" w:rsidRDefault="0006702C">
            <w:pPr>
              <w:widowControl w:val="0"/>
              <w:jc w:val="both"/>
              <w:rPr>
                <w:rFonts w:ascii="Cambria" w:eastAsia="Cambria" w:hAnsi="Cambria" w:cs="Cambria"/>
                <w:szCs w:val="24"/>
              </w:rPr>
            </w:pPr>
            <w:r>
              <w:rPr>
                <w:rFonts w:ascii="Cambria" w:eastAsia="Cambria" w:hAnsi="Cambria" w:cs="Cambria"/>
                <w:szCs w:val="24"/>
              </w:rPr>
              <w:t>0.12%</w:t>
            </w:r>
          </w:p>
        </w:tc>
      </w:tr>
      <w:tr w:rsidR="0006702C" w14:paraId="403D0F23" w14:textId="77777777" w:rsidTr="0006702C">
        <w:trPr>
          <w:trHeight w:val="473"/>
        </w:trPr>
        <w:tc>
          <w:tcPr>
            <w:tcW w:w="2365" w:type="dxa"/>
            <w:tcBorders>
              <w:top w:val="single" w:sz="8" w:space="0" w:color="000000"/>
              <w:left w:val="single" w:sz="8" w:space="0" w:color="000000"/>
              <w:bottom w:val="single" w:sz="8" w:space="0" w:color="000000"/>
              <w:right w:val="single" w:sz="8" w:space="0" w:color="000000"/>
            </w:tcBorders>
            <w:hideMark/>
          </w:tcPr>
          <w:p w14:paraId="1981626C" w14:textId="77777777" w:rsidR="0006702C" w:rsidRDefault="0006702C">
            <w:pPr>
              <w:widowControl w:val="0"/>
              <w:jc w:val="both"/>
              <w:rPr>
                <w:rFonts w:ascii="Cambria" w:eastAsia="Cambria" w:hAnsi="Cambria" w:cs="Cambria"/>
                <w:b/>
                <w:szCs w:val="24"/>
              </w:rPr>
            </w:pPr>
            <w:r>
              <w:rPr>
                <w:rFonts w:ascii="Cambria" w:eastAsia="Cambria" w:hAnsi="Cambria" w:cs="Cambria"/>
                <w:b/>
                <w:szCs w:val="24"/>
              </w:rPr>
              <w:t>Var (%)</w:t>
            </w:r>
          </w:p>
        </w:tc>
        <w:tc>
          <w:tcPr>
            <w:tcW w:w="2215" w:type="dxa"/>
            <w:tcBorders>
              <w:top w:val="single" w:sz="8" w:space="0" w:color="000000"/>
              <w:left w:val="single" w:sz="8" w:space="0" w:color="000000"/>
              <w:bottom w:val="single" w:sz="8" w:space="0" w:color="000000"/>
              <w:right w:val="single" w:sz="8" w:space="0" w:color="000000"/>
            </w:tcBorders>
            <w:hideMark/>
          </w:tcPr>
          <w:p w14:paraId="13A98FE5" w14:textId="77777777" w:rsidR="0006702C" w:rsidRDefault="0006702C">
            <w:pPr>
              <w:widowControl w:val="0"/>
              <w:jc w:val="both"/>
              <w:rPr>
                <w:rFonts w:ascii="Cambria" w:eastAsia="Cambria" w:hAnsi="Cambria" w:cs="Cambria"/>
                <w:szCs w:val="24"/>
              </w:rPr>
            </w:pPr>
            <w:r>
              <w:rPr>
                <w:rFonts w:ascii="Cambria" w:eastAsia="Cambria" w:hAnsi="Cambria" w:cs="Cambria"/>
                <w:szCs w:val="24"/>
              </w:rPr>
              <w:t>1.496</w:t>
            </w:r>
          </w:p>
        </w:tc>
        <w:tc>
          <w:tcPr>
            <w:tcW w:w="2215" w:type="dxa"/>
            <w:tcBorders>
              <w:top w:val="single" w:sz="8" w:space="0" w:color="000000"/>
              <w:left w:val="single" w:sz="8" w:space="0" w:color="000000"/>
              <w:bottom w:val="single" w:sz="8" w:space="0" w:color="000000"/>
              <w:right w:val="single" w:sz="8" w:space="0" w:color="000000"/>
            </w:tcBorders>
            <w:hideMark/>
          </w:tcPr>
          <w:p w14:paraId="6B0202AE" w14:textId="77777777" w:rsidR="0006702C" w:rsidRDefault="0006702C">
            <w:pPr>
              <w:widowControl w:val="0"/>
              <w:jc w:val="both"/>
              <w:rPr>
                <w:rFonts w:ascii="Cambria" w:eastAsia="Cambria" w:hAnsi="Cambria" w:cs="Cambria"/>
                <w:szCs w:val="24"/>
              </w:rPr>
            </w:pPr>
            <w:r>
              <w:rPr>
                <w:rFonts w:ascii="Cambria" w:eastAsia="Cambria" w:hAnsi="Cambria" w:cs="Cambria"/>
                <w:szCs w:val="24"/>
              </w:rPr>
              <w:t xml:space="preserve">1.2985 </w:t>
            </w:r>
          </w:p>
        </w:tc>
        <w:tc>
          <w:tcPr>
            <w:tcW w:w="2214" w:type="dxa"/>
            <w:tcBorders>
              <w:top w:val="single" w:sz="8" w:space="0" w:color="000000"/>
              <w:left w:val="single" w:sz="8" w:space="0" w:color="000000"/>
              <w:bottom w:val="single" w:sz="8" w:space="0" w:color="000000"/>
              <w:right w:val="single" w:sz="8" w:space="0" w:color="000000"/>
            </w:tcBorders>
            <w:hideMark/>
          </w:tcPr>
          <w:p w14:paraId="472DB9C8" w14:textId="77777777" w:rsidR="0006702C" w:rsidRDefault="0006702C">
            <w:pPr>
              <w:widowControl w:val="0"/>
              <w:jc w:val="both"/>
              <w:rPr>
                <w:rFonts w:ascii="Cambria" w:eastAsia="Cambria" w:hAnsi="Cambria" w:cs="Cambria"/>
                <w:szCs w:val="24"/>
              </w:rPr>
            </w:pPr>
            <w:r>
              <w:rPr>
                <w:rFonts w:ascii="Cambria" w:eastAsia="Cambria" w:hAnsi="Cambria" w:cs="Cambria"/>
                <w:szCs w:val="24"/>
              </w:rPr>
              <w:t xml:space="preserve">1.73 </w:t>
            </w:r>
          </w:p>
        </w:tc>
      </w:tr>
      <w:tr w:rsidR="0006702C" w14:paraId="59259E3F" w14:textId="77777777" w:rsidTr="0006702C">
        <w:trPr>
          <w:trHeight w:val="446"/>
        </w:trPr>
        <w:tc>
          <w:tcPr>
            <w:tcW w:w="2365" w:type="dxa"/>
            <w:tcBorders>
              <w:top w:val="single" w:sz="8" w:space="0" w:color="000000"/>
              <w:left w:val="single" w:sz="8" w:space="0" w:color="000000"/>
              <w:bottom w:val="single" w:sz="8" w:space="0" w:color="000000"/>
              <w:right w:val="single" w:sz="8" w:space="0" w:color="000000"/>
            </w:tcBorders>
            <w:hideMark/>
          </w:tcPr>
          <w:p w14:paraId="017A979F" w14:textId="77777777" w:rsidR="0006702C" w:rsidRDefault="0006702C">
            <w:pPr>
              <w:widowControl w:val="0"/>
              <w:jc w:val="both"/>
              <w:rPr>
                <w:rFonts w:ascii="Cambria" w:eastAsia="Cambria" w:hAnsi="Cambria" w:cs="Cambria"/>
                <w:b/>
                <w:szCs w:val="24"/>
              </w:rPr>
            </w:pPr>
            <w:r>
              <w:rPr>
                <w:rFonts w:ascii="Cambria" w:eastAsia="Cambria" w:hAnsi="Cambria" w:cs="Cambria"/>
                <w:b/>
                <w:szCs w:val="24"/>
              </w:rPr>
              <w:t>CVaR (%)</w:t>
            </w:r>
          </w:p>
        </w:tc>
        <w:tc>
          <w:tcPr>
            <w:tcW w:w="2215" w:type="dxa"/>
            <w:tcBorders>
              <w:top w:val="single" w:sz="8" w:space="0" w:color="000000"/>
              <w:left w:val="single" w:sz="8" w:space="0" w:color="000000"/>
              <w:bottom w:val="single" w:sz="8" w:space="0" w:color="000000"/>
              <w:right w:val="single" w:sz="8" w:space="0" w:color="000000"/>
            </w:tcBorders>
            <w:hideMark/>
          </w:tcPr>
          <w:p w14:paraId="5717636F" w14:textId="77777777" w:rsidR="0006702C" w:rsidRDefault="0006702C">
            <w:pPr>
              <w:widowControl w:val="0"/>
              <w:jc w:val="both"/>
              <w:rPr>
                <w:rFonts w:ascii="Cambria" w:eastAsia="Cambria" w:hAnsi="Cambria" w:cs="Cambria"/>
                <w:szCs w:val="24"/>
              </w:rPr>
            </w:pPr>
            <w:r>
              <w:rPr>
                <w:rFonts w:ascii="Cambria" w:eastAsia="Cambria" w:hAnsi="Cambria" w:cs="Cambria"/>
                <w:szCs w:val="24"/>
              </w:rPr>
              <w:t>4.161</w:t>
            </w:r>
          </w:p>
        </w:tc>
        <w:tc>
          <w:tcPr>
            <w:tcW w:w="2215" w:type="dxa"/>
            <w:tcBorders>
              <w:top w:val="single" w:sz="8" w:space="0" w:color="000000"/>
              <w:left w:val="single" w:sz="8" w:space="0" w:color="000000"/>
              <w:bottom w:val="single" w:sz="8" w:space="0" w:color="000000"/>
              <w:right w:val="single" w:sz="8" w:space="0" w:color="000000"/>
            </w:tcBorders>
            <w:hideMark/>
          </w:tcPr>
          <w:p w14:paraId="374E8DC4" w14:textId="77777777" w:rsidR="0006702C" w:rsidRDefault="0006702C">
            <w:pPr>
              <w:widowControl w:val="0"/>
              <w:jc w:val="both"/>
              <w:rPr>
                <w:rFonts w:ascii="Cambria" w:eastAsia="Cambria" w:hAnsi="Cambria" w:cs="Cambria"/>
                <w:szCs w:val="24"/>
              </w:rPr>
            </w:pPr>
            <w:r>
              <w:rPr>
                <w:rFonts w:ascii="Cambria" w:eastAsia="Cambria" w:hAnsi="Cambria" w:cs="Cambria"/>
                <w:szCs w:val="24"/>
              </w:rPr>
              <w:t xml:space="preserve">3.3548 </w:t>
            </w:r>
          </w:p>
        </w:tc>
        <w:tc>
          <w:tcPr>
            <w:tcW w:w="2214" w:type="dxa"/>
            <w:tcBorders>
              <w:top w:val="single" w:sz="8" w:space="0" w:color="000000"/>
              <w:left w:val="single" w:sz="8" w:space="0" w:color="000000"/>
              <w:bottom w:val="single" w:sz="8" w:space="0" w:color="000000"/>
              <w:right w:val="single" w:sz="8" w:space="0" w:color="000000"/>
            </w:tcBorders>
            <w:hideMark/>
          </w:tcPr>
          <w:p w14:paraId="5BA1617B" w14:textId="77777777" w:rsidR="0006702C" w:rsidRDefault="0006702C">
            <w:pPr>
              <w:widowControl w:val="0"/>
              <w:jc w:val="both"/>
              <w:rPr>
                <w:rFonts w:ascii="Cambria" w:eastAsia="Cambria" w:hAnsi="Cambria" w:cs="Cambria"/>
                <w:szCs w:val="24"/>
              </w:rPr>
            </w:pPr>
            <w:r>
              <w:rPr>
                <w:rFonts w:ascii="Cambria" w:eastAsia="Cambria" w:hAnsi="Cambria" w:cs="Cambria"/>
                <w:szCs w:val="24"/>
              </w:rPr>
              <w:t>4.36</w:t>
            </w:r>
          </w:p>
        </w:tc>
      </w:tr>
      <w:tr w:rsidR="0006702C" w14:paraId="0E12F901" w14:textId="77777777" w:rsidTr="0006702C">
        <w:trPr>
          <w:trHeight w:val="164"/>
        </w:trPr>
        <w:tc>
          <w:tcPr>
            <w:tcW w:w="2365" w:type="dxa"/>
            <w:tcBorders>
              <w:top w:val="single" w:sz="8" w:space="0" w:color="000000"/>
              <w:left w:val="single" w:sz="8" w:space="0" w:color="000000"/>
              <w:bottom w:val="single" w:sz="8" w:space="0" w:color="000000"/>
              <w:right w:val="single" w:sz="8" w:space="0" w:color="000000"/>
            </w:tcBorders>
            <w:hideMark/>
          </w:tcPr>
          <w:p w14:paraId="1334CCAD" w14:textId="77777777" w:rsidR="0006702C" w:rsidRDefault="0006702C">
            <w:pPr>
              <w:widowControl w:val="0"/>
              <w:jc w:val="both"/>
              <w:rPr>
                <w:rFonts w:ascii="Cambria" w:eastAsia="Cambria" w:hAnsi="Cambria" w:cs="Cambria"/>
                <w:b/>
                <w:szCs w:val="24"/>
              </w:rPr>
            </w:pPr>
            <w:r>
              <w:rPr>
                <w:rFonts w:ascii="Cambria" w:eastAsia="Cambria" w:hAnsi="Cambria" w:cs="Cambria"/>
                <w:b/>
                <w:szCs w:val="24"/>
              </w:rPr>
              <w:t>95% VaR (%)</w:t>
            </w:r>
          </w:p>
        </w:tc>
        <w:tc>
          <w:tcPr>
            <w:tcW w:w="2215" w:type="dxa"/>
            <w:tcBorders>
              <w:top w:val="single" w:sz="8" w:space="0" w:color="000000"/>
              <w:left w:val="single" w:sz="8" w:space="0" w:color="000000"/>
              <w:bottom w:val="single" w:sz="8" w:space="0" w:color="000000"/>
              <w:right w:val="single" w:sz="8" w:space="0" w:color="000000"/>
            </w:tcBorders>
            <w:hideMark/>
          </w:tcPr>
          <w:p w14:paraId="6B9CD100" w14:textId="77777777" w:rsidR="0006702C" w:rsidRDefault="0006702C">
            <w:pPr>
              <w:widowControl w:val="0"/>
              <w:jc w:val="both"/>
              <w:rPr>
                <w:rFonts w:ascii="Cambria" w:eastAsia="Cambria" w:hAnsi="Cambria" w:cs="Cambria"/>
                <w:szCs w:val="24"/>
              </w:rPr>
            </w:pPr>
            <w:r>
              <w:rPr>
                <w:rFonts w:ascii="Cambria" w:eastAsia="Cambria" w:hAnsi="Cambria" w:cs="Cambria"/>
                <w:szCs w:val="24"/>
              </w:rPr>
              <w:t>2.771</w:t>
            </w:r>
          </w:p>
        </w:tc>
        <w:tc>
          <w:tcPr>
            <w:tcW w:w="2215" w:type="dxa"/>
            <w:tcBorders>
              <w:top w:val="single" w:sz="8" w:space="0" w:color="000000"/>
              <w:left w:val="single" w:sz="8" w:space="0" w:color="000000"/>
              <w:bottom w:val="single" w:sz="8" w:space="0" w:color="000000"/>
              <w:right w:val="single" w:sz="8" w:space="0" w:color="000000"/>
            </w:tcBorders>
            <w:hideMark/>
          </w:tcPr>
          <w:p w14:paraId="7A0AEA21" w14:textId="77777777" w:rsidR="0006702C" w:rsidRDefault="0006702C">
            <w:pPr>
              <w:widowControl w:val="0"/>
              <w:jc w:val="both"/>
              <w:rPr>
                <w:rFonts w:ascii="Cambria" w:eastAsia="Cambria" w:hAnsi="Cambria" w:cs="Cambria"/>
                <w:szCs w:val="24"/>
              </w:rPr>
            </w:pPr>
            <w:r>
              <w:rPr>
                <w:rFonts w:ascii="Cambria" w:eastAsia="Cambria" w:hAnsi="Cambria" w:cs="Cambria"/>
                <w:szCs w:val="24"/>
              </w:rPr>
              <w:t>1.9674</w:t>
            </w:r>
          </w:p>
        </w:tc>
        <w:tc>
          <w:tcPr>
            <w:tcW w:w="2214" w:type="dxa"/>
            <w:tcBorders>
              <w:top w:val="single" w:sz="8" w:space="0" w:color="000000"/>
              <w:left w:val="single" w:sz="8" w:space="0" w:color="000000"/>
              <w:bottom w:val="single" w:sz="8" w:space="0" w:color="000000"/>
              <w:right w:val="single" w:sz="8" w:space="0" w:color="000000"/>
            </w:tcBorders>
            <w:hideMark/>
          </w:tcPr>
          <w:p w14:paraId="0FC4DB05" w14:textId="77777777" w:rsidR="0006702C" w:rsidRDefault="0006702C">
            <w:pPr>
              <w:widowControl w:val="0"/>
              <w:jc w:val="both"/>
              <w:rPr>
                <w:rFonts w:ascii="Cambria" w:eastAsia="Cambria" w:hAnsi="Cambria" w:cs="Cambria"/>
                <w:szCs w:val="24"/>
              </w:rPr>
            </w:pPr>
            <w:r>
              <w:rPr>
                <w:rFonts w:ascii="Cambria" w:eastAsia="Cambria" w:hAnsi="Cambria" w:cs="Cambria"/>
                <w:szCs w:val="24"/>
              </w:rPr>
              <w:t xml:space="preserve">2.67 </w:t>
            </w:r>
          </w:p>
        </w:tc>
      </w:tr>
    </w:tbl>
    <w:p w14:paraId="08E758F5" w14:textId="77777777" w:rsidR="0006702C" w:rsidRDefault="0006702C" w:rsidP="0006702C">
      <w:pPr>
        <w:spacing w:before="240" w:after="100"/>
        <w:jc w:val="center"/>
        <w:rPr>
          <w:rFonts w:ascii="Cambria" w:eastAsia="Cambria" w:hAnsi="Cambria" w:cs="Cambria"/>
          <w:b/>
          <w:bCs/>
          <w:szCs w:val="24"/>
          <w:lang w:val="en-US"/>
        </w:rPr>
      </w:pPr>
      <w:r>
        <w:rPr>
          <w:rFonts w:ascii="Cambria" w:eastAsia="Cambria" w:hAnsi="Cambria" w:cs="Cambria"/>
          <w:b/>
          <w:bCs/>
          <w:szCs w:val="24"/>
        </w:rPr>
        <w:lastRenderedPageBreak/>
        <w:t>Table 5: The summarization of three types of Portfolios</w:t>
      </w:r>
    </w:p>
    <w:p w14:paraId="2E4C6E52"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The Optimal portfolio clearly stands out with the highest expected return of 0.12%, which is significantly greater than both the EWP (0.032%) and GMV (0.0028%). This suggests that the Optimal portfolio is the most lucrative option, while the GMV offers the lowest potential reward. The EWP offers a moderate return in comparison.</w:t>
      </w:r>
    </w:p>
    <w:p w14:paraId="453105EC"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The variance (Var) measures the dispersion of returns of a portfolio. The Optimal portfolio has the highest variance at 1.73%, implying that it might have the highest volatility or risk compared to the other two portfolios. The GMV has the lowest variance at 1.2985%, suggesting it might be the most stable portfolio in terms of fluctuations, while EWP's variance is a bit higher than GMV's but still lower than the Optimal portfolio.</w:t>
      </w:r>
    </w:p>
    <w:p w14:paraId="04BD092D"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The Conditional Value at Risk (CVaR), also known as Expected Shortfall, gives an idea of the expected loss on the worst days. The Optimal portfolio has the highest CVaR at 4.36%, meaning that its potential losses during extreme adverse movements are the greatest among the three portfolios. EWP's CVaR is slightly lower at 4.161%, and GMV offers the lowest CVaR at 3.3548%, indicating it might have the least potential losses during extremely bad market days.</w:t>
      </w:r>
    </w:p>
    <w:p w14:paraId="6315C00A"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The Value at Risk (VaR) at the 95% confidence level provides an estimate of the potential loss over a specified period for a given confidence interval. The EWP has the highest 95% VaR at 2.771%, suggesting that it faces the most risk of experiencing significant losses. The GMV portfolio has the lowest 95% VaR at 1.9674%, indicating it's the least risky in this context, while the Optimal portfolio's 95% VaR is slightly lower than EWP's but higher than GMV's.</w:t>
      </w:r>
    </w:p>
    <w:p w14:paraId="54751E6B" w14:textId="77777777" w:rsidR="0006702C" w:rsidRDefault="0006702C" w:rsidP="0006702C">
      <w:pPr>
        <w:pStyle w:val="Heading2"/>
        <w:spacing w:after="100"/>
        <w:rPr>
          <w:rFonts w:ascii="Arial" w:eastAsia="Cambria" w:hAnsi="Arial" w:cs="Cambria"/>
          <w:szCs w:val="24"/>
        </w:rPr>
      </w:pPr>
      <w:bookmarkStart w:id="30" w:name="_Toc168907810"/>
      <w:r>
        <w:t>5. Performance Analysis (Key Performance Indicators)</w:t>
      </w:r>
      <w:bookmarkEnd w:id="30"/>
    </w:p>
    <w:p w14:paraId="2C1CC018"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After we have chosen the optimal portfolio, it is necessary to evaluate the performance of that portfolio. In this part, we will conduct an evaluation against the market, which will be represented by the VN100 index, and the fund’s performance, which is shown through the data of its NAVPS.</w:t>
      </w:r>
    </w:p>
    <w:p w14:paraId="66022EA9" w14:textId="589CFF88" w:rsidR="0006702C" w:rsidRDefault="0006702C" w:rsidP="0006702C">
      <w:pPr>
        <w:spacing w:after="100"/>
        <w:jc w:val="both"/>
        <w:rPr>
          <w:rFonts w:ascii="Cambria" w:eastAsia="Cambria" w:hAnsi="Cambria" w:cs="Cambria"/>
          <w:szCs w:val="24"/>
        </w:rPr>
      </w:pPr>
      <w:r>
        <w:rPr>
          <w:rFonts w:ascii="Cambria" w:eastAsia="Cambria" w:hAnsi="Cambria" w:cs="Cambria"/>
          <w:noProof/>
          <w:szCs w:val="24"/>
        </w:rPr>
        <w:lastRenderedPageBreak/>
        <w:drawing>
          <wp:inline distT="0" distB="0" distL="0" distR="0" wp14:anchorId="38FBA596" wp14:editId="2BB4EA36">
            <wp:extent cx="5737860" cy="3497580"/>
            <wp:effectExtent l="0" t="0" r="0" b="7620"/>
            <wp:docPr id="1255393859" name="Picture 3" descr="Ảnh có chứa văn bản, biểu đồ, hàng, Phông chữ&#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93859" name="Picture 3" descr="Ảnh có chứa văn bản, biểu đồ, hàng, Phông chữ&#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7860" cy="3497580"/>
                    </a:xfrm>
                    <a:prstGeom prst="rect">
                      <a:avLst/>
                    </a:prstGeom>
                    <a:noFill/>
                    <a:ln>
                      <a:noFill/>
                    </a:ln>
                  </pic:spPr>
                </pic:pic>
              </a:graphicData>
            </a:graphic>
          </wp:inline>
        </w:drawing>
      </w:r>
    </w:p>
    <w:p w14:paraId="7CC4F058" w14:textId="77777777" w:rsidR="0006702C" w:rsidRDefault="0006702C" w:rsidP="0006702C">
      <w:pPr>
        <w:spacing w:before="240" w:after="100"/>
        <w:jc w:val="center"/>
        <w:rPr>
          <w:rFonts w:ascii="Cambria" w:eastAsia="Cambria" w:hAnsi="Cambria" w:cs="Cambria"/>
          <w:b/>
          <w:bCs/>
          <w:szCs w:val="24"/>
          <w:lang w:val="en-US"/>
        </w:rPr>
      </w:pPr>
      <w:r>
        <w:rPr>
          <w:rFonts w:ascii="Cambria" w:eastAsia="Cambria" w:hAnsi="Cambria" w:cs="Cambria"/>
          <w:b/>
          <w:bCs/>
          <w:szCs w:val="24"/>
        </w:rPr>
        <w:t>Figure 17: The cumulative sum of return of BCF, VN100 and the Optimal Portfolio</w:t>
      </w:r>
    </w:p>
    <w:p w14:paraId="2A454FD7"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From the graph above, we can see over the period, the blue line, which indicates the portfolio’s cumulative sum of returns, grew gradually, while the other two lines fluctuated noticeably. One reason for this instance could be that the composition of a portfolio plays a pivotal role in determining its risk and return profile. At the end of the period, BCF and portfolio won the VN100. The gradual growth of the blue line suggests a well-diversified portfolio that spreads its risk across various asset classes, sectors, or geographies. Such diversification can help mitigate the impact of any single underperforming asset or sector.</w:t>
      </w:r>
    </w:p>
    <w:p w14:paraId="4014A5ED" w14:textId="34FF18AE" w:rsidR="0006702C" w:rsidRDefault="0006702C" w:rsidP="0006702C">
      <w:pPr>
        <w:spacing w:after="100"/>
        <w:jc w:val="both"/>
        <w:rPr>
          <w:rFonts w:ascii="Cambria" w:eastAsia="Cambria" w:hAnsi="Cambria" w:cs="Cambria"/>
          <w:szCs w:val="24"/>
        </w:rPr>
      </w:pPr>
      <w:r>
        <w:rPr>
          <w:rFonts w:ascii="Cambria" w:eastAsia="Cambria" w:hAnsi="Cambria" w:cs="Cambria"/>
          <w:noProof/>
          <w:szCs w:val="24"/>
        </w:rPr>
        <w:lastRenderedPageBreak/>
        <w:drawing>
          <wp:inline distT="0" distB="0" distL="0" distR="0" wp14:anchorId="290C2E7B" wp14:editId="37D9AF9C">
            <wp:extent cx="5737860" cy="2842260"/>
            <wp:effectExtent l="0" t="0" r="0" b="0"/>
            <wp:docPr id="1010033152" name="Picture 2" descr="Ảnh có chứa văn bản, Phông chữ, biểu đồ, hà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33152" name="Picture 2" descr="Ảnh có chứa văn bản, Phông chữ, biểu đồ, hàng&#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7860" cy="2842260"/>
                    </a:xfrm>
                    <a:prstGeom prst="rect">
                      <a:avLst/>
                    </a:prstGeom>
                    <a:noFill/>
                    <a:ln>
                      <a:noFill/>
                    </a:ln>
                  </pic:spPr>
                </pic:pic>
              </a:graphicData>
            </a:graphic>
          </wp:inline>
        </w:drawing>
      </w:r>
    </w:p>
    <w:p w14:paraId="732E3F20" w14:textId="77777777" w:rsidR="0006702C" w:rsidRDefault="0006702C" w:rsidP="0006702C">
      <w:pPr>
        <w:spacing w:before="240" w:after="100"/>
        <w:jc w:val="center"/>
        <w:rPr>
          <w:rFonts w:ascii="Cambria" w:eastAsia="Cambria" w:hAnsi="Cambria" w:cs="Cambria"/>
          <w:b/>
          <w:bCs/>
          <w:szCs w:val="24"/>
          <w:lang w:val="en-US"/>
        </w:rPr>
      </w:pPr>
      <w:r>
        <w:rPr>
          <w:rFonts w:ascii="Cambria" w:eastAsia="Cambria" w:hAnsi="Cambria" w:cs="Cambria"/>
          <w:b/>
          <w:bCs/>
          <w:szCs w:val="24"/>
        </w:rPr>
        <w:t>Figure 18: The comparison growth of return of BCF, VN100 and the Optimal Portfolio</w:t>
      </w:r>
    </w:p>
    <w:p w14:paraId="50389A25"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From the graph above, we can see over the period, the blue line, which indicates the portfolio’s comparison growth of returns, grew gradually, while the other two lines fluctuated noticeably below the portfolio. Because of its steady and gradual growth, the portfolio outperforms both VN100 and BCF.</w:t>
      </w:r>
    </w:p>
    <w:p w14:paraId="267E7075"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In the previous section, we have introduced the use of KPIs in portfolio performance evaluation. The table below summarizes various crucial metrics to further assess our portfolio performance:</w:t>
      </w:r>
    </w:p>
    <w:tbl>
      <w:tblPr>
        <w:tblStyle w:val="1"/>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9"/>
        <w:gridCol w:w="2257"/>
        <w:gridCol w:w="2257"/>
        <w:gridCol w:w="2257"/>
      </w:tblGrid>
      <w:tr w:rsidR="0006702C" w14:paraId="6993734C" w14:textId="77777777" w:rsidTr="0006702C">
        <w:tc>
          <w:tcPr>
            <w:tcW w:w="2258" w:type="dxa"/>
            <w:tcBorders>
              <w:top w:val="single" w:sz="8" w:space="0" w:color="000000"/>
              <w:left w:val="single" w:sz="8" w:space="0" w:color="000000"/>
              <w:bottom w:val="single" w:sz="8" w:space="0" w:color="000000"/>
              <w:right w:val="single" w:sz="8" w:space="0" w:color="000000"/>
            </w:tcBorders>
            <w:hideMark/>
          </w:tcPr>
          <w:p w14:paraId="5BAD0B60" w14:textId="77777777" w:rsidR="0006702C" w:rsidRDefault="0006702C">
            <w:pPr>
              <w:widowControl w:val="0"/>
              <w:spacing w:after="100"/>
              <w:jc w:val="both"/>
              <w:rPr>
                <w:rFonts w:ascii="Cambria" w:eastAsia="Cambria" w:hAnsi="Cambria" w:cs="Cambria"/>
                <w:szCs w:val="24"/>
              </w:rPr>
            </w:pPr>
            <w:r>
              <w:rPr>
                <w:rFonts w:ascii="Cambria" w:hAnsi="Cambria"/>
                <w:color w:val="000000"/>
              </w:rPr>
              <w:t>KPIs</w:t>
            </w:r>
          </w:p>
        </w:tc>
        <w:tc>
          <w:tcPr>
            <w:tcW w:w="2257" w:type="dxa"/>
            <w:tcBorders>
              <w:top w:val="single" w:sz="8" w:space="0" w:color="000000"/>
              <w:left w:val="single" w:sz="8" w:space="0" w:color="000000"/>
              <w:bottom w:val="single" w:sz="8" w:space="0" w:color="000000"/>
              <w:right w:val="single" w:sz="8" w:space="0" w:color="000000"/>
            </w:tcBorders>
            <w:hideMark/>
          </w:tcPr>
          <w:p w14:paraId="189A37AC" w14:textId="77777777" w:rsidR="0006702C" w:rsidRDefault="0006702C">
            <w:pPr>
              <w:widowControl w:val="0"/>
              <w:spacing w:after="100"/>
              <w:jc w:val="center"/>
              <w:rPr>
                <w:rFonts w:ascii="Cambria" w:eastAsia="Cambria" w:hAnsi="Cambria" w:cs="Cambria"/>
                <w:b/>
                <w:szCs w:val="24"/>
              </w:rPr>
            </w:pPr>
            <w:r>
              <w:rPr>
                <w:rFonts w:ascii="Cambria" w:hAnsi="Cambria"/>
                <w:b/>
                <w:bCs/>
                <w:color w:val="000000"/>
              </w:rPr>
              <w:t>Optimal Portfolio</w:t>
            </w:r>
          </w:p>
        </w:tc>
        <w:tc>
          <w:tcPr>
            <w:tcW w:w="2257" w:type="dxa"/>
            <w:tcBorders>
              <w:top w:val="single" w:sz="8" w:space="0" w:color="000000"/>
              <w:left w:val="single" w:sz="8" w:space="0" w:color="000000"/>
              <w:bottom w:val="single" w:sz="8" w:space="0" w:color="000000"/>
              <w:right w:val="single" w:sz="8" w:space="0" w:color="000000"/>
            </w:tcBorders>
            <w:hideMark/>
          </w:tcPr>
          <w:p w14:paraId="6F567422" w14:textId="77777777" w:rsidR="0006702C" w:rsidRDefault="0006702C">
            <w:pPr>
              <w:widowControl w:val="0"/>
              <w:spacing w:after="100"/>
              <w:jc w:val="center"/>
              <w:rPr>
                <w:rFonts w:ascii="Cambria" w:eastAsia="Cambria" w:hAnsi="Cambria" w:cs="Cambria"/>
                <w:b/>
                <w:szCs w:val="24"/>
              </w:rPr>
            </w:pPr>
            <w:r>
              <w:rPr>
                <w:rFonts w:ascii="Cambria" w:hAnsi="Cambria"/>
                <w:b/>
                <w:bCs/>
                <w:color w:val="000000"/>
              </w:rPr>
              <w:t>VBCF-BCF</w:t>
            </w:r>
          </w:p>
        </w:tc>
        <w:tc>
          <w:tcPr>
            <w:tcW w:w="2257" w:type="dxa"/>
            <w:tcBorders>
              <w:top w:val="single" w:sz="8" w:space="0" w:color="000000"/>
              <w:left w:val="single" w:sz="8" w:space="0" w:color="000000"/>
              <w:bottom w:val="single" w:sz="8" w:space="0" w:color="000000"/>
              <w:right w:val="single" w:sz="8" w:space="0" w:color="000000"/>
            </w:tcBorders>
            <w:hideMark/>
          </w:tcPr>
          <w:p w14:paraId="62B23476" w14:textId="77777777" w:rsidR="0006702C" w:rsidRDefault="0006702C">
            <w:pPr>
              <w:widowControl w:val="0"/>
              <w:spacing w:after="100"/>
              <w:jc w:val="center"/>
              <w:rPr>
                <w:rFonts w:ascii="Cambria" w:eastAsia="Cambria" w:hAnsi="Cambria" w:cs="Cambria"/>
                <w:b/>
                <w:szCs w:val="24"/>
              </w:rPr>
            </w:pPr>
            <w:r>
              <w:rPr>
                <w:rFonts w:ascii="Cambria" w:hAnsi="Cambria"/>
                <w:b/>
                <w:bCs/>
                <w:color w:val="000000"/>
              </w:rPr>
              <w:t>VN100</w:t>
            </w:r>
          </w:p>
        </w:tc>
      </w:tr>
      <w:tr w:rsidR="0006702C" w14:paraId="19D98457" w14:textId="77777777" w:rsidTr="0006702C">
        <w:tc>
          <w:tcPr>
            <w:tcW w:w="2258" w:type="dxa"/>
            <w:tcBorders>
              <w:top w:val="single" w:sz="8" w:space="0" w:color="000000"/>
              <w:left w:val="single" w:sz="8" w:space="0" w:color="000000"/>
              <w:bottom w:val="single" w:sz="8" w:space="0" w:color="000000"/>
              <w:right w:val="single" w:sz="8" w:space="0" w:color="000000"/>
            </w:tcBorders>
            <w:hideMark/>
          </w:tcPr>
          <w:p w14:paraId="58BB220B" w14:textId="77777777" w:rsidR="0006702C" w:rsidRDefault="0006702C">
            <w:pPr>
              <w:widowControl w:val="0"/>
              <w:spacing w:after="100"/>
              <w:jc w:val="both"/>
              <w:rPr>
                <w:rFonts w:ascii="Cambria" w:eastAsia="Cambria" w:hAnsi="Cambria" w:cs="Cambria"/>
                <w:szCs w:val="24"/>
              </w:rPr>
            </w:pPr>
            <w:r>
              <w:rPr>
                <w:rFonts w:ascii="Cambria" w:hAnsi="Cambria"/>
                <w:color w:val="000000"/>
              </w:rPr>
              <w:t>Tracking Error</w:t>
            </w:r>
          </w:p>
        </w:tc>
        <w:tc>
          <w:tcPr>
            <w:tcW w:w="2257" w:type="dxa"/>
            <w:tcBorders>
              <w:top w:val="single" w:sz="8" w:space="0" w:color="000000"/>
              <w:left w:val="single" w:sz="8" w:space="0" w:color="000000"/>
              <w:bottom w:val="single" w:sz="8" w:space="0" w:color="000000"/>
              <w:right w:val="single" w:sz="8" w:space="0" w:color="000000"/>
            </w:tcBorders>
            <w:hideMark/>
          </w:tcPr>
          <w:p w14:paraId="1E15EE5E" w14:textId="77777777" w:rsidR="0006702C" w:rsidRDefault="0006702C">
            <w:pPr>
              <w:widowControl w:val="0"/>
              <w:spacing w:after="100"/>
              <w:jc w:val="right"/>
              <w:rPr>
                <w:rFonts w:ascii="Cambria" w:eastAsia="Cambria" w:hAnsi="Cambria" w:cs="Cambria"/>
                <w:b/>
                <w:szCs w:val="24"/>
              </w:rPr>
            </w:pPr>
            <w:r>
              <w:rPr>
                <w:rFonts w:ascii="Cambria" w:hAnsi="Cambria"/>
                <w:color w:val="000000"/>
              </w:rPr>
              <w:t>0.43</w:t>
            </w:r>
          </w:p>
        </w:tc>
        <w:tc>
          <w:tcPr>
            <w:tcW w:w="2257" w:type="dxa"/>
            <w:tcBorders>
              <w:top w:val="single" w:sz="8" w:space="0" w:color="000000"/>
              <w:left w:val="single" w:sz="8" w:space="0" w:color="000000"/>
              <w:bottom w:val="single" w:sz="8" w:space="0" w:color="000000"/>
              <w:right w:val="single" w:sz="8" w:space="0" w:color="000000"/>
            </w:tcBorders>
            <w:hideMark/>
          </w:tcPr>
          <w:p w14:paraId="4A6654FA" w14:textId="77777777" w:rsidR="0006702C" w:rsidRDefault="0006702C">
            <w:pPr>
              <w:widowControl w:val="0"/>
              <w:spacing w:after="100"/>
              <w:jc w:val="right"/>
              <w:rPr>
                <w:rFonts w:ascii="Cambria" w:eastAsia="Cambria" w:hAnsi="Cambria" w:cs="Cambria"/>
                <w:b/>
                <w:szCs w:val="24"/>
              </w:rPr>
            </w:pPr>
            <w:r>
              <w:rPr>
                <w:rFonts w:ascii="Cambria" w:hAnsi="Cambria"/>
                <w:color w:val="000000"/>
              </w:rPr>
              <w:t>0.29</w:t>
            </w:r>
          </w:p>
        </w:tc>
        <w:tc>
          <w:tcPr>
            <w:tcW w:w="2257" w:type="dxa"/>
            <w:tcBorders>
              <w:top w:val="single" w:sz="8" w:space="0" w:color="000000"/>
              <w:left w:val="single" w:sz="8" w:space="0" w:color="000000"/>
              <w:bottom w:val="single" w:sz="8" w:space="0" w:color="000000"/>
              <w:right w:val="single" w:sz="8" w:space="0" w:color="000000"/>
            </w:tcBorders>
            <w:hideMark/>
          </w:tcPr>
          <w:p w14:paraId="52D6E9F0" w14:textId="77777777" w:rsidR="0006702C" w:rsidRDefault="0006702C">
            <w:pPr>
              <w:widowControl w:val="0"/>
              <w:spacing w:after="100"/>
              <w:jc w:val="right"/>
              <w:rPr>
                <w:rFonts w:ascii="Cambria" w:eastAsia="Cambria" w:hAnsi="Cambria" w:cs="Cambria"/>
                <w:b/>
                <w:szCs w:val="24"/>
              </w:rPr>
            </w:pPr>
            <w:r>
              <w:rPr>
                <w:rFonts w:ascii="Cambria" w:hAnsi="Cambria"/>
                <w:color w:val="000000"/>
              </w:rPr>
              <w:t>0</w:t>
            </w:r>
          </w:p>
        </w:tc>
      </w:tr>
      <w:tr w:rsidR="0006702C" w14:paraId="0269489F" w14:textId="77777777" w:rsidTr="0006702C">
        <w:tc>
          <w:tcPr>
            <w:tcW w:w="2258" w:type="dxa"/>
            <w:tcBorders>
              <w:top w:val="single" w:sz="8" w:space="0" w:color="000000"/>
              <w:left w:val="single" w:sz="8" w:space="0" w:color="000000"/>
              <w:bottom w:val="single" w:sz="8" w:space="0" w:color="000000"/>
              <w:right w:val="single" w:sz="8" w:space="0" w:color="000000"/>
            </w:tcBorders>
            <w:hideMark/>
          </w:tcPr>
          <w:p w14:paraId="48B6C383" w14:textId="77777777" w:rsidR="0006702C" w:rsidRDefault="0006702C">
            <w:pPr>
              <w:widowControl w:val="0"/>
              <w:spacing w:after="100"/>
              <w:jc w:val="both"/>
              <w:rPr>
                <w:rFonts w:ascii="Cambria" w:eastAsia="Cambria" w:hAnsi="Cambria" w:cs="Cambria"/>
                <w:szCs w:val="24"/>
              </w:rPr>
            </w:pPr>
            <w:r>
              <w:rPr>
                <w:rFonts w:ascii="Cambria" w:hAnsi="Cambria"/>
                <w:color w:val="000000"/>
              </w:rPr>
              <w:t>Information Ratio</w:t>
            </w:r>
          </w:p>
        </w:tc>
        <w:tc>
          <w:tcPr>
            <w:tcW w:w="2257" w:type="dxa"/>
            <w:tcBorders>
              <w:top w:val="single" w:sz="8" w:space="0" w:color="000000"/>
              <w:left w:val="single" w:sz="8" w:space="0" w:color="000000"/>
              <w:bottom w:val="single" w:sz="8" w:space="0" w:color="000000"/>
              <w:right w:val="single" w:sz="8" w:space="0" w:color="000000"/>
            </w:tcBorders>
            <w:hideMark/>
          </w:tcPr>
          <w:p w14:paraId="2677647D" w14:textId="77777777" w:rsidR="0006702C" w:rsidRDefault="0006702C">
            <w:pPr>
              <w:widowControl w:val="0"/>
              <w:spacing w:after="100"/>
              <w:jc w:val="right"/>
              <w:rPr>
                <w:rFonts w:ascii="Cambria" w:eastAsia="Cambria" w:hAnsi="Cambria" w:cs="Cambria"/>
                <w:b/>
                <w:szCs w:val="24"/>
              </w:rPr>
            </w:pPr>
            <w:r>
              <w:rPr>
                <w:rFonts w:ascii="Cambria" w:hAnsi="Cambria"/>
                <w:color w:val="000000"/>
              </w:rPr>
              <w:t>0.52</w:t>
            </w:r>
          </w:p>
        </w:tc>
        <w:tc>
          <w:tcPr>
            <w:tcW w:w="2257" w:type="dxa"/>
            <w:tcBorders>
              <w:top w:val="single" w:sz="8" w:space="0" w:color="000000"/>
              <w:left w:val="single" w:sz="8" w:space="0" w:color="000000"/>
              <w:bottom w:val="single" w:sz="8" w:space="0" w:color="000000"/>
              <w:right w:val="single" w:sz="8" w:space="0" w:color="000000"/>
            </w:tcBorders>
            <w:hideMark/>
          </w:tcPr>
          <w:p w14:paraId="4D56D877" w14:textId="77777777" w:rsidR="0006702C" w:rsidRDefault="0006702C">
            <w:pPr>
              <w:widowControl w:val="0"/>
              <w:spacing w:after="100"/>
              <w:jc w:val="right"/>
              <w:rPr>
                <w:rFonts w:ascii="Cambria" w:eastAsia="Cambria" w:hAnsi="Cambria" w:cs="Cambria"/>
                <w:b/>
                <w:szCs w:val="24"/>
              </w:rPr>
            </w:pPr>
            <w:r>
              <w:rPr>
                <w:rFonts w:ascii="Cambria" w:hAnsi="Cambria"/>
                <w:color w:val="000000"/>
              </w:rPr>
              <w:t>0.59</w:t>
            </w:r>
          </w:p>
        </w:tc>
        <w:tc>
          <w:tcPr>
            <w:tcW w:w="2257" w:type="dxa"/>
            <w:tcBorders>
              <w:top w:val="single" w:sz="8" w:space="0" w:color="000000"/>
              <w:left w:val="single" w:sz="8" w:space="0" w:color="000000"/>
              <w:bottom w:val="single" w:sz="8" w:space="0" w:color="000000"/>
              <w:right w:val="single" w:sz="8" w:space="0" w:color="000000"/>
            </w:tcBorders>
            <w:hideMark/>
          </w:tcPr>
          <w:p w14:paraId="17BB2AE5" w14:textId="77777777" w:rsidR="0006702C" w:rsidRDefault="0006702C">
            <w:pPr>
              <w:widowControl w:val="0"/>
              <w:spacing w:after="100"/>
              <w:jc w:val="right"/>
              <w:rPr>
                <w:rFonts w:ascii="Cambria" w:eastAsia="Cambria" w:hAnsi="Cambria" w:cs="Cambria"/>
                <w:b/>
                <w:szCs w:val="24"/>
              </w:rPr>
            </w:pPr>
            <w:r>
              <w:rPr>
                <w:rFonts w:ascii="Cambria" w:hAnsi="Cambria"/>
                <w:color w:val="000000"/>
              </w:rPr>
              <w:t>-</w:t>
            </w:r>
          </w:p>
        </w:tc>
      </w:tr>
      <w:tr w:rsidR="0006702C" w14:paraId="74C5BD50" w14:textId="77777777" w:rsidTr="0006702C">
        <w:tc>
          <w:tcPr>
            <w:tcW w:w="2258" w:type="dxa"/>
            <w:tcBorders>
              <w:top w:val="single" w:sz="8" w:space="0" w:color="000000"/>
              <w:left w:val="single" w:sz="8" w:space="0" w:color="000000"/>
              <w:bottom w:val="single" w:sz="8" w:space="0" w:color="000000"/>
              <w:right w:val="single" w:sz="8" w:space="0" w:color="000000"/>
            </w:tcBorders>
            <w:hideMark/>
          </w:tcPr>
          <w:p w14:paraId="1C139C6F" w14:textId="77777777" w:rsidR="0006702C" w:rsidRDefault="0006702C">
            <w:pPr>
              <w:widowControl w:val="0"/>
              <w:spacing w:after="100"/>
              <w:jc w:val="both"/>
              <w:rPr>
                <w:rFonts w:ascii="Cambria" w:eastAsia="Cambria" w:hAnsi="Cambria" w:cs="Cambria"/>
                <w:szCs w:val="24"/>
              </w:rPr>
            </w:pPr>
            <w:r>
              <w:rPr>
                <w:rFonts w:ascii="Cambria" w:eastAsia="Cambria" w:hAnsi="Cambria" w:cs="Cambria"/>
                <w:szCs w:val="24"/>
              </w:rPr>
              <w:t>Alpha</w:t>
            </w:r>
          </w:p>
        </w:tc>
        <w:tc>
          <w:tcPr>
            <w:tcW w:w="2257" w:type="dxa"/>
            <w:tcBorders>
              <w:top w:val="single" w:sz="8" w:space="0" w:color="000000"/>
              <w:left w:val="single" w:sz="8" w:space="0" w:color="000000"/>
              <w:bottom w:val="single" w:sz="8" w:space="0" w:color="000000"/>
              <w:right w:val="single" w:sz="8" w:space="0" w:color="000000"/>
            </w:tcBorders>
            <w:hideMark/>
          </w:tcPr>
          <w:p w14:paraId="3765094C" w14:textId="77777777" w:rsidR="0006702C" w:rsidRDefault="0006702C">
            <w:pPr>
              <w:widowControl w:val="0"/>
              <w:spacing w:after="100"/>
              <w:jc w:val="right"/>
              <w:rPr>
                <w:rFonts w:ascii="Cambria" w:eastAsia="Cambria" w:hAnsi="Cambria" w:cs="Cambria"/>
                <w:szCs w:val="24"/>
              </w:rPr>
            </w:pPr>
            <w:r>
              <w:rPr>
                <w:rFonts w:ascii="Cambria" w:eastAsia="Cambria" w:hAnsi="Cambria" w:cs="Cambria"/>
                <w:szCs w:val="24"/>
              </w:rPr>
              <w:t>0.0013</w:t>
            </w:r>
          </w:p>
        </w:tc>
        <w:tc>
          <w:tcPr>
            <w:tcW w:w="2257" w:type="dxa"/>
            <w:tcBorders>
              <w:top w:val="single" w:sz="8" w:space="0" w:color="000000"/>
              <w:left w:val="single" w:sz="8" w:space="0" w:color="000000"/>
              <w:bottom w:val="single" w:sz="8" w:space="0" w:color="000000"/>
              <w:right w:val="single" w:sz="8" w:space="0" w:color="000000"/>
            </w:tcBorders>
            <w:hideMark/>
          </w:tcPr>
          <w:p w14:paraId="3A227137" w14:textId="77777777" w:rsidR="0006702C" w:rsidRDefault="0006702C">
            <w:pPr>
              <w:widowControl w:val="0"/>
              <w:spacing w:after="100"/>
              <w:jc w:val="right"/>
              <w:rPr>
                <w:rFonts w:ascii="Cambria" w:eastAsia="Cambria" w:hAnsi="Cambria" w:cs="Cambria"/>
                <w:szCs w:val="24"/>
              </w:rPr>
            </w:pPr>
            <w:r>
              <w:rPr>
                <w:rFonts w:ascii="Cambria" w:eastAsia="Cambria" w:hAnsi="Cambria" w:cs="Cambria"/>
                <w:szCs w:val="24"/>
              </w:rPr>
              <w:t>0.00087</w:t>
            </w:r>
          </w:p>
        </w:tc>
        <w:tc>
          <w:tcPr>
            <w:tcW w:w="2257" w:type="dxa"/>
            <w:tcBorders>
              <w:top w:val="single" w:sz="8" w:space="0" w:color="000000"/>
              <w:left w:val="single" w:sz="8" w:space="0" w:color="000000"/>
              <w:bottom w:val="single" w:sz="8" w:space="0" w:color="000000"/>
              <w:right w:val="single" w:sz="8" w:space="0" w:color="000000"/>
            </w:tcBorders>
            <w:hideMark/>
          </w:tcPr>
          <w:p w14:paraId="565E2531" w14:textId="77777777" w:rsidR="0006702C" w:rsidRDefault="0006702C">
            <w:pPr>
              <w:widowControl w:val="0"/>
              <w:spacing w:after="100"/>
              <w:jc w:val="right"/>
              <w:rPr>
                <w:rFonts w:ascii="Cambria" w:eastAsia="Cambria" w:hAnsi="Cambria" w:cs="Cambria"/>
                <w:szCs w:val="24"/>
              </w:rPr>
            </w:pPr>
            <w:r>
              <w:rPr>
                <w:rFonts w:ascii="Cambria" w:eastAsia="Cambria" w:hAnsi="Cambria" w:cs="Cambria"/>
                <w:szCs w:val="24"/>
              </w:rPr>
              <w:t>0</w:t>
            </w:r>
          </w:p>
        </w:tc>
      </w:tr>
      <w:tr w:rsidR="0006702C" w14:paraId="0009A1EF" w14:textId="77777777" w:rsidTr="0006702C">
        <w:tc>
          <w:tcPr>
            <w:tcW w:w="2258" w:type="dxa"/>
            <w:tcBorders>
              <w:top w:val="single" w:sz="8" w:space="0" w:color="000000"/>
              <w:left w:val="single" w:sz="8" w:space="0" w:color="000000"/>
              <w:bottom w:val="single" w:sz="8" w:space="0" w:color="000000"/>
              <w:right w:val="single" w:sz="8" w:space="0" w:color="000000"/>
            </w:tcBorders>
            <w:hideMark/>
          </w:tcPr>
          <w:p w14:paraId="60FC9135" w14:textId="77777777" w:rsidR="0006702C" w:rsidRDefault="0006702C">
            <w:pPr>
              <w:widowControl w:val="0"/>
              <w:spacing w:after="100"/>
              <w:jc w:val="both"/>
              <w:rPr>
                <w:rFonts w:ascii="Cambria" w:eastAsia="Cambria" w:hAnsi="Cambria" w:cs="Cambria"/>
                <w:szCs w:val="24"/>
              </w:rPr>
            </w:pPr>
            <w:r>
              <w:rPr>
                <w:rFonts w:ascii="Cambria" w:eastAsia="Cambria" w:hAnsi="Cambria" w:cs="Cambria"/>
                <w:szCs w:val="24"/>
              </w:rPr>
              <w:t>Beta</w:t>
            </w:r>
          </w:p>
        </w:tc>
        <w:tc>
          <w:tcPr>
            <w:tcW w:w="2257" w:type="dxa"/>
            <w:tcBorders>
              <w:top w:val="single" w:sz="8" w:space="0" w:color="000000"/>
              <w:left w:val="single" w:sz="8" w:space="0" w:color="000000"/>
              <w:bottom w:val="single" w:sz="8" w:space="0" w:color="000000"/>
              <w:right w:val="single" w:sz="8" w:space="0" w:color="000000"/>
            </w:tcBorders>
            <w:hideMark/>
          </w:tcPr>
          <w:p w14:paraId="545B94DD" w14:textId="77777777" w:rsidR="0006702C" w:rsidRDefault="0006702C">
            <w:pPr>
              <w:widowControl w:val="0"/>
              <w:spacing w:after="100"/>
              <w:jc w:val="right"/>
              <w:rPr>
                <w:rFonts w:ascii="Cambria" w:eastAsia="Cambria" w:hAnsi="Cambria" w:cs="Cambria"/>
                <w:szCs w:val="24"/>
              </w:rPr>
            </w:pPr>
            <w:r>
              <w:rPr>
                <w:rFonts w:ascii="Cambria" w:eastAsia="Cambria" w:hAnsi="Cambria" w:cs="Cambria"/>
                <w:szCs w:val="24"/>
              </w:rPr>
              <w:t>0.17</w:t>
            </w:r>
          </w:p>
        </w:tc>
        <w:tc>
          <w:tcPr>
            <w:tcW w:w="2257" w:type="dxa"/>
            <w:tcBorders>
              <w:top w:val="single" w:sz="8" w:space="0" w:color="000000"/>
              <w:left w:val="single" w:sz="8" w:space="0" w:color="000000"/>
              <w:bottom w:val="single" w:sz="8" w:space="0" w:color="000000"/>
              <w:right w:val="single" w:sz="8" w:space="0" w:color="000000"/>
            </w:tcBorders>
            <w:hideMark/>
          </w:tcPr>
          <w:p w14:paraId="586AD0BA" w14:textId="77777777" w:rsidR="0006702C" w:rsidRDefault="0006702C">
            <w:pPr>
              <w:widowControl w:val="0"/>
              <w:spacing w:after="100"/>
              <w:jc w:val="right"/>
              <w:rPr>
                <w:rFonts w:ascii="Cambria" w:eastAsia="Cambria" w:hAnsi="Cambria" w:cs="Cambria"/>
                <w:szCs w:val="24"/>
              </w:rPr>
            </w:pPr>
            <w:r>
              <w:rPr>
                <w:rFonts w:ascii="Cambria" w:eastAsia="Cambria" w:hAnsi="Cambria" w:cs="Cambria"/>
                <w:szCs w:val="24"/>
              </w:rPr>
              <w:t>0.69</w:t>
            </w:r>
          </w:p>
        </w:tc>
        <w:tc>
          <w:tcPr>
            <w:tcW w:w="2257" w:type="dxa"/>
            <w:tcBorders>
              <w:top w:val="single" w:sz="8" w:space="0" w:color="000000"/>
              <w:left w:val="single" w:sz="8" w:space="0" w:color="000000"/>
              <w:bottom w:val="single" w:sz="8" w:space="0" w:color="000000"/>
              <w:right w:val="single" w:sz="8" w:space="0" w:color="000000"/>
            </w:tcBorders>
            <w:hideMark/>
          </w:tcPr>
          <w:p w14:paraId="14D665BC" w14:textId="77777777" w:rsidR="0006702C" w:rsidRDefault="0006702C">
            <w:pPr>
              <w:widowControl w:val="0"/>
              <w:spacing w:after="100"/>
              <w:jc w:val="right"/>
              <w:rPr>
                <w:rFonts w:ascii="Cambria" w:eastAsia="Cambria" w:hAnsi="Cambria" w:cs="Cambria"/>
                <w:szCs w:val="24"/>
              </w:rPr>
            </w:pPr>
            <w:r>
              <w:rPr>
                <w:rFonts w:ascii="Cambria" w:eastAsia="Cambria" w:hAnsi="Cambria" w:cs="Cambria"/>
                <w:szCs w:val="24"/>
              </w:rPr>
              <w:t>1</w:t>
            </w:r>
          </w:p>
        </w:tc>
      </w:tr>
      <w:tr w:rsidR="0006702C" w14:paraId="5E3C283B" w14:textId="77777777" w:rsidTr="0006702C">
        <w:tc>
          <w:tcPr>
            <w:tcW w:w="2258" w:type="dxa"/>
            <w:tcBorders>
              <w:top w:val="single" w:sz="8" w:space="0" w:color="000000"/>
              <w:left w:val="single" w:sz="8" w:space="0" w:color="000000"/>
              <w:bottom w:val="single" w:sz="8" w:space="0" w:color="000000"/>
              <w:right w:val="single" w:sz="8" w:space="0" w:color="000000"/>
            </w:tcBorders>
            <w:hideMark/>
          </w:tcPr>
          <w:p w14:paraId="0C960FFD" w14:textId="77777777" w:rsidR="0006702C" w:rsidRDefault="0006702C">
            <w:pPr>
              <w:widowControl w:val="0"/>
              <w:spacing w:after="100"/>
              <w:jc w:val="both"/>
              <w:rPr>
                <w:rFonts w:ascii="Cambria" w:eastAsia="Cambria" w:hAnsi="Cambria" w:cs="Cambria"/>
                <w:szCs w:val="24"/>
              </w:rPr>
            </w:pPr>
            <w:r>
              <w:rPr>
                <w:rFonts w:ascii="Cambria" w:eastAsia="Cambria" w:hAnsi="Cambria" w:cs="Cambria"/>
                <w:szCs w:val="24"/>
              </w:rPr>
              <w:lastRenderedPageBreak/>
              <w:t>Maximum Drawdown</w:t>
            </w:r>
          </w:p>
        </w:tc>
        <w:tc>
          <w:tcPr>
            <w:tcW w:w="2257" w:type="dxa"/>
            <w:tcBorders>
              <w:top w:val="single" w:sz="8" w:space="0" w:color="000000"/>
              <w:left w:val="single" w:sz="8" w:space="0" w:color="000000"/>
              <w:bottom w:val="single" w:sz="8" w:space="0" w:color="000000"/>
              <w:right w:val="single" w:sz="8" w:space="0" w:color="000000"/>
            </w:tcBorders>
            <w:hideMark/>
          </w:tcPr>
          <w:p w14:paraId="73F01F4C" w14:textId="77777777" w:rsidR="0006702C" w:rsidRDefault="0006702C">
            <w:pPr>
              <w:widowControl w:val="0"/>
              <w:spacing w:after="100"/>
              <w:jc w:val="right"/>
              <w:rPr>
                <w:rFonts w:ascii="Cambria" w:eastAsia="Cambria" w:hAnsi="Cambria" w:cs="Cambria"/>
                <w:szCs w:val="24"/>
              </w:rPr>
            </w:pPr>
            <w:r>
              <w:rPr>
                <w:rFonts w:ascii="Cambria" w:eastAsia="Cambria" w:hAnsi="Cambria" w:cs="Cambria"/>
                <w:szCs w:val="24"/>
              </w:rPr>
              <w:t>0.098</w:t>
            </w:r>
          </w:p>
        </w:tc>
        <w:tc>
          <w:tcPr>
            <w:tcW w:w="2257" w:type="dxa"/>
            <w:tcBorders>
              <w:top w:val="single" w:sz="8" w:space="0" w:color="000000"/>
              <w:left w:val="single" w:sz="8" w:space="0" w:color="000000"/>
              <w:bottom w:val="single" w:sz="8" w:space="0" w:color="000000"/>
              <w:right w:val="single" w:sz="8" w:space="0" w:color="000000"/>
            </w:tcBorders>
            <w:hideMark/>
          </w:tcPr>
          <w:p w14:paraId="5DED8B8E" w14:textId="77777777" w:rsidR="0006702C" w:rsidRDefault="0006702C">
            <w:pPr>
              <w:widowControl w:val="0"/>
              <w:spacing w:after="100"/>
              <w:jc w:val="right"/>
              <w:rPr>
                <w:rFonts w:ascii="Cambria" w:eastAsia="Cambria" w:hAnsi="Cambria" w:cs="Cambria"/>
                <w:szCs w:val="24"/>
              </w:rPr>
            </w:pPr>
            <w:r>
              <w:rPr>
                <w:rFonts w:ascii="Cambria" w:eastAsia="Cambria" w:hAnsi="Cambria" w:cs="Cambria"/>
                <w:szCs w:val="24"/>
              </w:rPr>
              <w:t>0.34</w:t>
            </w:r>
          </w:p>
        </w:tc>
        <w:tc>
          <w:tcPr>
            <w:tcW w:w="2257" w:type="dxa"/>
            <w:tcBorders>
              <w:top w:val="single" w:sz="8" w:space="0" w:color="000000"/>
              <w:left w:val="single" w:sz="8" w:space="0" w:color="000000"/>
              <w:bottom w:val="single" w:sz="8" w:space="0" w:color="000000"/>
              <w:right w:val="single" w:sz="8" w:space="0" w:color="000000"/>
            </w:tcBorders>
            <w:hideMark/>
          </w:tcPr>
          <w:p w14:paraId="7D0FB268" w14:textId="77777777" w:rsidR="0006702C" w:rsidRDefault="0006702C">
            <w:pPr>
              <w:widowControl w:val="0"/>
              <w:spacing w:after="100"/>
              <w:jc w:val="right"/>
              <w:rPr>
                <w:rFonts w:ascii="Cambria" w:eastAsia="Cambria" w:hAnsi="Cambria" w:cs="Cambria"/>
                <w:szCs w:val="24"/>
              </w:rPr>
            </w:pPr>
            <w:r>
              <w:rPr>
                <w:rFonts w:ascii="Cambria" w:eastAsia="Cambria" w:hAnsi="Cambria" w:cs="Cambria"/>
                <w:szCs w:val="24"/>
              </w:rPr>
              <w:t>0.47</w:t>
            </w:r>
          </w:p>
        </w:tc>
      </w:tr>
      <w:tr w:rsidR="0006702C" w14:paraId="3A0916B3" w14:textId="77777777" w:rsidTr="0006702C">
        <w:tc>
          <w:tcPr>
            <w:tcW w:w="2258" w:type="dxa"/>
            <w:tcBorders>
              <w:top w:val="single" w:sz="8" w:space="0" w:color="000000"/>
              <w:left w:val="single" w:sz="8" w:space="0" w:color="000000"/>
              <w:bottom w:val="single" w:sz="8" w:space="0" w:color="000000"/>
              <w:right w:val="single" w:sz="8" w:space="0" w:color="000000"/>
            </w:tcBorders>
            <w:hideMark/>
          </w:tcPr>
          <w:p w14:paraId="44E0415D" w14:textId="77777777" w:rsidR="0006702C" w:rsidRDefault="0006702C">
            <w:pPr>
              <w:widowControl w:val="0"/>
              <w:spacing w:after="100"/>
              <w:jc w:val="both"/>
              <w:rPr>
                <w:rFonts w:ascii="Cambria" w:eastAsia="Cambria" w:hAnsi="Cambria" w:cs="Cambria"/>
                <w:szCs w:val="24"/>
              </w:rPr>
            </w:pPr>
            <w:r>
              <w:rPr>
                <w:rFonts w:ascii="Cambria" w:eastAsia="Cambria" w:hAnsi="Cambria" w:cs="Cambria"/>
                <w:szCs w:val="24"/>
              </w:rPr>
              <w:t>Treynor Ratio</w:t>
            </w:r>
          </w:p>
        </w:tc>
        <w:tc>
          <w:tcPr>
            <w:tcW w:w="2257" w:type="dxa"/>
            <w:tcBorders>
              <w:top w:val="single" w:sz="8" w:space="0" w:color="000000"/>
              <w:left w:val="single" w:sz="8" w:space="0" w:color="000000"/>
              <w:bottom w:val="single" w:sz="8" w:space="0" w:color="000000"/>
              <w:right w:val="single" w:sz="8" w:space="0" w:color="000000"/>
            </w:tcBorders>
            <w:hideMark/>
          </w:tcPr>
          <w:p w14:paraId="6A387622" w14:textId="77777777" w:rsidR="0006702C" w:rsidRDefault="0006702C">
            <w:pPr>
              <w:widowControl w:val="0"/>
              <w:spacing w:after="100"/>
              <w:jc w:val="right"/>
              <w:rPr>
                <w:rFonts w:ascii="Cambria" w:eastAsia="Cambria" w:hAnsi="Cambria" w:cs="Cambria"/>
                <w:szCs w:val="24"/>
              </w:rPr>
            </w:pPr>
            <w:r>
              <w:rPr>
                <w:rFonts w:ascii="Cambria" w:eastAsia="Cambria" w:hAnsi="Cambria" w:cs="Cambria"/>
                <w:szCs w:val="24"/>
              </w:rPr>
              <w:t>0.0085</w:t>
            </w:r>
          </w:p>
        </w:tc>
        <w:tc>
          <w:tcPr>
            <w:tcW w:w="2257" w:type="dxa"/>
            <w:tcBorders>
              <w:top w:val="single" w:sz="8" w:space="0" w:color="000000"/>
              <w:left w:val="single" w:sz="8" w:space="0" w:color="000000"/>
              <w:bottom w:val="single" w:sz="8" w:space="0" w:color="000000"/>
              <w:right w:val="single" w:sz="8" w:space="0" w:color="000000"/>
            </w:tcBorders>
            <w:hideMark/>
          </w:tcPr>
          <w:p w14:paraId="1318DF08" w14:textId="77777777" w:rsidR="0006702C" w:rsidRDefault="0006702C">
            <w:pPr>
              <w:widowControl w:val="0"/>
              <w:spacing w:after="100"/>
              <w:jc w:val="right"/>
              <w:rPr>
                <w:rFonts w:ascii="Cambria" w:eastAsia="Cambria" w:hAnsi="Cambria" w:cs="Cambria"/>
                <w:szCs w:val="24"/>
              </w:rPr>
            </w:pPr>
            <w:r>
              <w:rPr>
                <w:rFonts w:ascii="Cambria" w:eastAsia="Cambria" w:hAnsi="Cambria" w:cs="Cambria"/>
                <w:szCs w:val="24"/>
              </w:rPr>
              <w:t>0.0023</w:t>
            </w:r>
          </w:p>
        </w:tc>
        <w:tc>
          <w:tcPr>
            <w:tcW w:w="2257" w:type="dxa"/>
            <w:tcBorders>
              <w:top w:val="single" w:sz="8" w:space="0" w:color="000000"/>
              <w:left w:val="single" w:sz="8" w:space="0" w:color="000000"/>
              <w:bottom w:val="single" w:sz="8" w:space="0" w:color="000000"/>
              <w:right w:val="single" w:sz="8" w:space="0" w:color="000000"/>
            </w:tcBorders>
            <w:hideMark/>
          </w:tcPr>
          <w:p w14:paraId="3C30DFDE" w14:textId="77777777" w:rsidR="0006702C" w:rsidRDefault="0006702C">
            <w:pPr>
              <w:widowControl w:val="0"/>
              <w:spacing w:after="100"/>
              <w:jc w:val="right"/>
              <w:rPr>
                <w:rFonts w:ascii="Cambria" w:eastAsia="Cambria" w:hAnsi="Cambria" w:cs="Cambria"/>
                <w:szCs w:val="24"/>
              </w:rPr>
            </w:pPr>
            <w:r>
              <w:rPr>
                <w:rFonts w:ascii="Cambria" w:eastAsia="Cambria" w:hAnsi="Cambria" w:cs="Cambria"/>
                <w:szCs w:val="24"/>
              </w:rPr>
              <w:t>0.0015</w:t>
            </w:r>
          </w:p>
        </w:tc>
      </w:tr>
    </w:tbl>
    <w:p w14:paraId="09B89CB5" w14:textId="77777777" w:rsidR="0006702C" w:rsidRDefault="0006702C" w:rsidP="0006702C">
      <w:pPr>
        <w:spacing w:before="240" w:after="100"/>
        <w:jc w:val="center"/>
        <w:rPr>
          <w:rFonts w:ascii="Cambria" w:eastAsia="Cambria" w:hAnsi="Cambria" w:cs="Cambria"/>
          <w:b/>
          <w:bCs/>
          <w:szCs w:val="24"/>
          <w:lang w:val="en-US"/>
        </w:rPr>
      </w:pPr>
      <w:r>
        <w:rPr>
          <w:rFonts w:ascii="Cambria" w:eastAsia="Cambria" w:hAnsi="Cambria" w:cs="Cambria"/>
          <w:b/>
          <w:bCs/>
          <w:szCs w:val="24"/>
        </w:rPr>
        <w:t>Table 6: The summarization KPIs for BCF, VN100 and the Optimal Portfolio</w:t>
      </w:r>
    </w:p>
    <w:p w14:paraId="0A6090C4" w14:textId="77777777" w:rsidR="0006702C" w:rsidRDefault="0006702C" w:rsidP="0006702C">
      <w:pPr>
        <w:spacing w:after="100"/>
        <w:jc w:val="both"/>
        <w:rPr>
          <w:rFonts w:ascii="Cambria" w:eastAsia="Cambria" w:hAnsi="Cambria" w:cs="Cambria"/>
          <w:szCs w:val="24"/>
          <w:lang w:val="en-US"/>
        </w:rPr>
      </w:pPr>
      <w:r>
        <w:rPr>
          <w:rFonts w:ascii="Cambria" w:eastAsia="Cambria" w:hAnsi="Cambria" w:cs="Cambria"/>
          <w:szCs w:val="24"/>
          <w:lang w:val="en-US"/>
        </w:rPr>
        <w:t>Firstly, looking at the Tracking Error, which measures the deviation of portfolio returns from a benchmark, we can observe notable variations among the portfolios. Portfolio has the highest Tracking Error at 0.43, indicating that it diverges the most from the benchmark. VBCF-BCF has a slightly lower Tracking Error of 0.29, suggesting a moderate level of divergence, while VN100 has a Tracking Error of 0, indicating that it perfectly replicates the benchmark.</w:t>
      </w:r>
    </w:p>
    <w:p w14:paraId="359E6DD8" w14:textId="77777777" w:rsidR="0006702C" w:rsidRDefault="0006702C" w:rsidP="0006702C">
      <w:pPr>
        <w:spacing w:after="100"/>
        <w:jc w:val="both"/>
        <w:rPr>
          <w:rFonts w:ascii="Cambria" w:eastAsia="Cambria" w:hAnsi="Cambria" w:cs="Cambria"/>
          <w:szCs w:val="24"/>
          <w:lang w:val="en-US"/>
        </w:rPr>
      </w:pPr>
      <w:r>
        <w:rPr>
          <w:rFonts w:ascii="Cambria" w:eastAsia="Cambria" w:hAnsi="Cambria" w:cs="Cambria"/>
          <w:szCs w:val="24"/>
          <w:lang w:val="en-US"/>
        </w:rPr>
        <w:t>Secondly, the Information Ratio, a measure of risk-adjusted performance, is presented in the table. In this case, higher values are generally more favorable. The Portfolio exhibits an Information Ratio of 0.52, showing a positive performance relative to risk. In contrast, the VBCF-BCF portfolio outperforms with an Information Ratio of 0.59, indicating better risk-adjusted returns. The VN100 portfolio has an Information Ratio of -, which suggests missing data or an undefined value for this metric.</w:t>
      </w:r>
    </w:p>
    <w:p w14:paraId="19E8CB9E"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The alpha metrics provide insights into the risk-adjusted performance of the investments relative to the market. The portfolio's alpha is 0.0013, and BCF's alpha is 0.00087. Both positive alphas suggest that the portfolio and BCF stock have outperformed the market on a risk-adjusted basis. However, the portfolio's alpha is higher than BCF's, indicating that it has generated a slightly superior excess return relative to the market than BCF has, after accounting for their respective risks.</w:t>
      </w:r>
    </w:p>
    <w:p w14:paraId="12D81F34"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 xml:space="preserve">The portfolio has a beta of 0.17, indicating it is considerably less sensitive to market movements than the market itself. This implies the portfolio tends to be more stable and less affected by overall market volatility. On the other hand, BCF stock has a beta of 0.69, suggesting it is more responsive to market changes than the portfolio but still less volatile </w:t>
      </w:r>
      <w:r>
        <w:rPr>
          <w:rFonts w:ascii="Cambria" w:eastAsia="Cambria" w:hAnsi="Cambria" w:cs="Cambria"/>
          <w:szCs w:val="24"/>
        </w:rPr>
        <w:lastRenderedPageBreak/>
        <w:t>than the market. A beta of less than 1 for both the portfolio and BCF indicates that they both generally exhibit less volatility than the market.</w:t>
      </w:r>
    </w:p>
    <w:p w14:paraId="0831C737" w14:textId="1EAB3ECE" w:rsidR="0006702C" w:rsidRDefault="0006702C" w:rsidP="0006702C">
      <w:pPr>
        <w:spacing w:after="100"/>
        <w:jc w:val="both"/>
        <w:rPr>
          <w:rFonts w:ascii="Cambria" w:eastAsia="Cambria" w:hAnsi="Cambria" w:cs="Cambria"/>
          <w:szCs w:val="24"/>
        </w:rPr>
      </w:pPr>
      <w:r>
        <w:rPr>
          <w:rFonts w:ascii="Cambria" w:eastAsia="Cambria" w:hAnsi="Cambria" w:cs="Cambria"/>
          <w:noProof/>
          <w:szCs w:val="24"/>
        </w:rPr>
        <w:drawing>
          <wp:inline distT="0" distB="0" distL="0" distR="0" wp14:anchorId="535FE6FF" wp14:editId="6606BE06">
            <wp:extent cx="5737860" cy="3390900"/>
            <wp:effectExtent l="0" t="0" r="0" b="0"/>
            <wp:docPr id="1926403348" name="Picture 1" descr="Ảnh có chứa văn bản, biểu đồ, hàng, Phông chữ&#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03348" name="Picture 1" descr="Ảnh có chứa văn bản, biểu đồ, hàng, Phông chữ&#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7860" cy="3390900"/>
                    </a:xfrm>
                    <a:prstGeom prst="rect">
                      <a:avLst/>
                    </a:prstGeom>
                    <a:noFill/>
                    <a:ln>
                      <a:noFill/>
                    </a:ln>
                  </pic:spPr>
                </pic:pic>
              </a:graphicData>
            </a:graphic>
          </wp:inline>
        </w:drawing>
      </w:r>
    </w:p>
    <w:p w14:paraId="78B43ABB" w14:textId="77777777" w:rsidR="0006702C" w:rsidRDefault="0006702C" w:rsidP="0006702C">
      <w:pPr>
        <w:spacing w:before="240" w:after="100"/>
        <w:jc w:val="center"/>
        <w:rPr>
          <w:rFonts w:ascii="Cambria" w:eastAsia="Cambria" w:hAnsi="Cambria" w:cs="Cambria"/>
          <w:b/>
          <w:bCs/>
          <w:szCs w:val="24"/>
          <w:lang w:val="en-US"/>
        </w:rPr>
      </w:pPr>
      <w:r>
        <w:rPr>
          <w:rFonts w:ascii="Cambria" w:eastAsia="Cambria" w:hAnsi="Cambria" w:cs="Cambria"/>
          <w:b/>
          <w:bCs/>
          <w:szCs w:val="24"/>
        </w:rPr>
        <w:t>Figure 18: Maximum Drawdown Chart of BCF, VN100 and the Optimal Portfolio</w:t>
      </w:r>
    </w:p>
    <w:p w14:paraId="353E0927"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Our portfolio's maximum drawdown of 9.8% is notably lower than that of both the BCF fund, which experienced a 34% max drawdown, and the VN100 market index, which saw a staggering 47% decline. This indicates that this portfolio exhibited a significantly reduced downside risk and volatility in comparison to both VCBF-BCF and the broader market, suggesting that our optimization strategy has managed to shield our portfolio from the more substantial declines that impacted other investments, showcasing its resilience in potentially turbulent market conditions.</w:t>
      </w:r>
    </w:p>
    <w:p w14:paraId="27F1E254"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 xml:space="preserve">The Treynor Ratio measures the risk-adjusted performance of investments considering the systematic risk (beta). A higher Treynor Ratio indicates better performance for a given level of risk. The portfolio's Treynor Ratio is 0.0085, which is significantly higher than both BCF's Treynor Ratio of 0.0023 and the market's Treynor Ratio of 0.0015. This suggests that the portfolio has provided a better return per unit of systematic risk than both BCF and the market. </w:t>
      </w:r>
    </w:p>
    <w:p w14:paraId="05847D19"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lastRenderedPageBreak/>
        <w:t>In short, the portfolio demonstrates superior performance metrics across all three parameters when compared to BCF and the market. BCF, while outperforming the market in terms of alpha and Treynor Ratio, falls short of the portfolio's performance metrics.</w:t>
      </w:r>
    </w:p>
    <w:p w14:paraId="46BFCD9F" w14:textId="77777777" w:rsidR="0006702C" w:rsidRDefault="0006702C" w:rsidP="0006702C">
      <w:pPr>
        <w:spacing w:after="100"/>
        <w:jc w:val="both"/>
        <w:rPr>
          <w:rFonts w:ascii="Cambria" w:eastAsia="Cambria" w:hAnsi="Cambria" w:cs="Cambria"/>
          <w:szCs w:val="24"/>
        </w:rPr>
      </w:pPr>
      <w:r>
        <w:br w:type="page"/>
      </w:r>
    </w:p>
    <w:p w14:paraId="474026AD" w14:textId="77777777" w:rsidR="0006702C" w:rsidRDefault="0006702C" w:rsidP="0006702C">
      <w:pPr>
        <w:pStyle w:val="Heading1"/>
        <w:spacing w:after="100"/>
        <w:rPr>
          <w:rFonts w:asciiTheme="minorHAnsi" w:eastAsia="Arial" w:hAnsiTheme="minorHAnsi" w:cs="Times New Roman"/>
        </w:rPr>
      </w:pPr>
      <w:bookmarkStart w:id="31" w:name="_Toc168907811"/>
      <w:r>
        <w:rPr>
          <w:rFonts w:eastAsia="Arial"/>
        </w:rPr>
        <w:lastRenderedPageBreak/>
        <w:t>Conclusion</w:t>
      </w:r>
      <w:bookmarkEnd w:id="31"/>
    </w:p>
    <w:p w14:paraId="0318937E" w14:textId="77777777" w:rsidR="0006702C" w:rsidRDefault="0006702C" w:rsidP="0006702C">
      <w:pPr>
        <w:spacing w:after="100"/>
        <w:jc w:val="both"/>
        <w:rPr>
          <w:rFonts w:ascii="Cambria" w:eastAsia="Cambria" w:hAnsi="Cambria" w:cs="Cambria"/>
          <w:szCs w:val="24"/>
        </w:rPr>
      </w:pPr>
      <w:r>
        <w:rPr>
          <w:rFonts w:ascii="Cambria" w:eastAsia="Cambria" w:hAnsi="Cambria" w:cs="Cambria"/>
          <w:szCs w:val="24"/>
        </w:rPr>
        <w:t>VCBF-BCF is one of the most well-known and profited open-ended funds in Vietnam. The fund’s strategy is to use a bottom-up approach and reallocate the portfolio across sectors and companies throughout each economic period. Based on the ten most-invested stocks in the fund’s portfolio, we have used the programming language R and Markowitz’s Portfolio Theory Programming to construct an optimal portfolio. Overall, our portfolio is shown to outperform both the market and the VCBF-BCF fund, with an expected return of 12% and a well-risk-return balanced variance of 1.73%. It's worth noting that not all stocks from the initial list feature in the final portfolio, as several have zero weightages. In addition, because of the prohibition of short-selling in the Vietnamese stock market, the optimal portfolio might not have the highest possible Sharpe ratio and is still leaving room for better optimization.</w:t>
      </w:r>
    </w:p>
    <w:p w14:paraId="385601ED" w14:textId="77777777" w:rsidR="00830402" w:rsidRDefault="00830402"/>
    <w:sectPr w:rsidR="008304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0" w:author="Hưng Trần" w:date="2023-09-26T00:45:00Z" w:initials="">
    <w:p w14:paraId="60DEF7AD" w14:textId="77777777" w:rsidR="0006702C" w:rsidRDefault="0006702C" w:rsidP="0006702C">
      <w:pPr>
        <w:widowControl w:val="0"/>
        <w:spacing w:line="240" w:lineRule="auto"/>
        <w:rPr>
          <w:color w:val="000000"/>
        </w:rPr>
      </w:pPr>
      <w:r>
        <w:rPr>
          <w:color w:val="000000"/>
        </w:rPr>
        <w:t>https://www.investopedia.com/terms/b/beta.asp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0DEF7A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2FA3EE3" w16cex:dateUtc="2024-06-10T02: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0DEF7AD" w16cid:durableId="12FA3E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CF6107"/>
    <w:multiLevelType w:val="multilevel"/>
    <w:tmpl w:val="25DE0E5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28FC7531"/>
    <w:multiLevelType w:val="hybridMultilevel"/>
    <w:tmpl w:val="5D586A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428E7172"/>
    <w:multiLevelType w:val="multilevel"/>
    <w:tmpl w:val="C4F68712"/>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5E6C2922"/>
    <w:multiLevelType w:val="multilevel"/>
    <w:tmpl w:val="56648BD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5E7B4F47"/>
    <w:multiLevelType w:val="multilevel"/>
    <w:tmpl w:val="0CDE0F0A"/>
    <w:lvl w:ilvl="0">
      <w:start w:val="1"/>
      <w:numFmt w:val="bullet"/>
      <w:lvlText w:val=""/>
      <w:lvlJc w:val="left"/>
      <w:pPr>
        <w:ind w:left="720" w:hanging="360"/>
      </w:pPr>
      <w:rPr>
        <w:strike w:val="0"/>
        <w:dstrike w:val="0"/>
        <w:u w:val="none"/>
        <w:effect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905380581">
    <w:abstractNumId w:val="2"/>
  </w:num>
  <w:num w:numId="2" w16cid:durableId="690301274">
    <w:abstractNumId w:val="1"/>
  </w:num>
  <w:num w:numId="3" w16cid:durableId="1952122660">
    <w:abstractNumId w:val="4"/>
  </w:num>
  <w:num w:numId="4" w16cid:durableId="299460556">
    <w:abstractNumId w:val="0"/>
  </w:num>
  <w:num w:numId="5" w16cid:durableId="16713658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02C"/>
    <w:rsid w:val="0006702C"/>
    <w:rsid w:val="001A7F97"/>
    <w:rsid w:val="00461FB1"/>
    <w:rsid w:val="00657E4D"/>
    <w:rsid w:val="00830402"/>
    <w:rsid w:val="008B4CCE"/>
    <w:rsid w:val="00A639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89397"/>
  <w15:chartTrackingRefBased/>
  <w15:docId w15:val="{4421053D-26F9-467C-BFF1-A2E0B0F73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02C"/>
    <w:pPr>
      <w:spacing w:after="0" w:line="360" w:lineRule="auto"/>
    </w:pPr>
    <w:rPr>
      <w:rFonts w:eastAsia="Arial" w:cs="Arial"/>
      <w:kern w:val="0"/>
      <w:sz w:val="24"/>
      <w:lang w:val="en" w:eastAsia="zh-CN"/>
      <w14:ligatures w14:val="none"/>
    </w:rPr>
  </w:style>
  <w:style w:type="paragraph" w:styleId="Heading1">
    <w:name w:val="heading 1"/>
    <w:basedOn w:val="Normal"/>
    <w:next w:val="Normal"/>
    <w:link w:val="Heading1Char"/>
    <w:uiPriority w:val="9"/>
    <w:qFormat/>
    <w:rsid w:val="000670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70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70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70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70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702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702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702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702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0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70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70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70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70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70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70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70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702C"/>
    <w:rPr>
      <w:rFonts w:eastAsiaTheme="majorEastAsia" w:cstheme="majorBidi"/>
      <w:color w:val="272727" w:themeColor="text1" w:themeTint="D8"/>
    </w:rPr>
  </w:style>
  <w:style w:type="paragraph" w:styleId="Title">
    <w:name w:val="Title"/>
    <w:basedOn w:val="Normal"/>
    <w:next w:val="Normal"/>
    <w:link w:val="TitleChar"/>
    <w:uiPriority w:val="10"/>
    <w:qFormat/>
    <w:rsid w:val="000670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70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70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70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702C"/>
    <w:pPr>
      <w:spacing w:before="160"/>
      <w:jc w:val="center"/>
    </w:pPr>
    <w:rPr>
      <w:i/>
      <w:iCs/>
      <w:color w:val="404040" w:themeColor="text1" w:themeTint="BF"/>
    </w:rPr>
  </w:style>
  <w:style w:type="character" w:customStyle="1" w:styleId="QuoteChar">
    <w:name w:val="Quote Char"/>
    <w:basedOn w:val="DefaultParagraphFont"/>
    <w:link w:val="Quote"/>
    <w:uiPriority w:val="29"/>
    <w:rsid w:val="0006702C"/>
    <w:rPr>
      <w:i/>
      <w:iCs/>
      <w:color w:val="404040" w:themeColor="text1" w:themeTint="BF"/>
    </w:rPr>
  </w:style>
  <w:style w:type="paragraph" w:styleId="ListParagraph">
    <w:name w:val="List Paragraph"/>
    <w:basedOn w:val="Normal"/>
    <w:uiPriority w:val="34"/>
    <w:qFormat/>
    <w:rsid w:val="0006702C"/>
    <w:pPr>
      <w:ind w:left="720"/>
      <w:contextualSpacing/>
    </w:pPr>
  </w:style>
  <w:style w:type="character" w:styleId="IntenseEmphasis">
    <w:name w:val="Intense Emphasis"/>
    <w:basedOn w:val="DefaultParagraphFont"/>
    <w:uiPriority w:val="21"/>
    <w:qFormat/>
    <w:rsid w:val="0006702C"/>
    <w:rPr>
      <w:i/>
      <w:iCs/>
      <w:color w:val="0F4761" w:themeColor="accent1" w:themeShade="BF"/>
    </w:rPr>
  </w:style>
  <w:style w:type="paragraph" w:styleId="IntenseQuote">
    <w:name w:val="Intense Quote"/>
    <w:basedOn w:val="Normal"/>
    <w:next w:val="Normal"/>
    <w:link w:val="IntenseQuoteChar"/>
    <w:uiPriority w:val="30"/>
    <w:qFormat/>
    <w:rsid w:val="000670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702C"/>
    <w:rPr>
      <w:i/>
      <w:iCs/>
      <w:color w:val="0F4761" w:themeColor="accent1" w:themeShade="BF"/>
    </w:rPr>
  </w:style>
  <w:style w:type="character" w:styleId="IntenseReference">
    <w:name w:val="Intense Reference"/>
    <w:basedOn w:val="DefaultParagraphFont"/>
    <w:uiPriority w:val="32"/>
    <w:qFormat/>
    <w:rsid w:val="0006702C"/>
    <w:rPr>
      <w:b/>
      <w:bCs/>
      <w:smallCaps/>
      <w:color w:val="0F4761" w:themeColor="accent1" w:themeShade="BF"/>
      <w:spacing w:val="5"/>
    </w:rPr>
  </w:style>
  <w:style w:type="character" w:styleId="Hyperlink">
    <w:name w:val="Hyperlink"/>
    <w:basedOn w:val="DefaultParagraphFont"/>
    <w:uiPriority w:val="99"/>
    <w:unhideWhenUsed/>
    <w:rsid w:val="0006702C"/>
    <w:rPr>
      <w:color w:val="467886" w:themeColor="hyperlink"/>
      <w:u w:val="single"/>
    </w:rPr>
  </w:style>
  <w:style w:type="table" w:customStyle="1" w:styleId="7">
    <w:name w:val="7"/>
    <w:basedOn w:val="TableNormal"/>
    <w:rsid w:val="0006702C"/>
    <w:pPr>
      <w:spacing w:after="0" w:line="240" w:lineRule="auto"/>
    </w:pPr>
    <w:rPr>
      <w:rFonts w:ascii="Arial" w:eastAsia="Arial" w:hAnsi="Arial" w:cs="Arial"/>
      <w:kern w:val="0"/>
      <w:lang w:val="en" w:eastAsia="zh-CN"/>
      <w14:ligatures w14:val="none"/>
    </w:rPr>
    <w:tblPr>
      <w:tblStyleRowBandSize w:val="1"/>
      <w:tblStyleColBandSize w:val="1"/>
      <w:tblInd w:w="0" w:type="nil"/>
      <w:tblCellMar>
        <w:top w:w="100" w:type="dxa"/>
        <w:left w:w="100" w:type="dxa"/>
        <w:bottom w:w="100" w:type="dxa"/>
        <w:right w:w="100" w:type="dxa"/>
      </w:tblCellMar>
    </w:tblPr>
  </w:style>
  <w:style w:type="table" w:customStyle="1" w:styleId="6">
    <w:name w:val="6"/>
    <w:basedOn w:val="TableNormal"/>
    <w:rsid w:val="0006702C"/>
    <w:pPr>
      <w:spacing w:after="0" w:line="240" w:lineRule="auto"/>
    </w:pPr>
    <w:rPr>
      <w:rFonts w:ascii="Arial" w:eastAsia="Arial" w:hAnsi="Arial" w:cs="Arial"/>
      <w:kern w:val="0"/>
      <w:lang w:val="en" w:eastAsia="zh-CN"/>
      <w14:ligatures w14:val="none"/>
    </w:rPr>
    <w:tblPr>
      <w:tblStyleRowBandSize w:val="1"/>
      <w:tblStyleColBandSize w:val="1"/>
      <w:tblInd w:w="0" w:type="nil"/>
      <w:tblCellMar>
        <w:top w:w="100" w:type="dxa"/>
        <w:left w:w="100" w:type="dxa"/>
        <w:bottom w:w="100" w:type="dxa"/>
        <w:right w:w="100" w:type="dxa"/>
      </w:tblCellMar>
    </w:tblPr>
  </w:style>
  <w:style w:type="table" w:customStyle="1" w:styleId="5">
    <w:name w:val="5"/>
    <w:basedOn w:val="TableNormal"/>
    <w:rsid w:val="0006702C"/>
    <w:pPr>
      <w:spacing w:after="0" w:line="240" w:lineRule="auto"/>
    </w:pPr>
    <w:rPr>
      <w:rFonts w:ascii="Arial" w:eastAsia="Arial" w:hAnsi="Arial" w:cs="Arial"/>
      <w:kern w:val="0"/>
      <w:lang w:val="en" w:eastAsia="zh-CN"/>
      <w14:ligatures w14:val="none"/>
    </w:rPr>
    <w:tblPr>
      <w:tblStyleRowBandSize w:val="1"/>
      <w:tblStyleColBandSize w:val="1"/>
      <w:tblInd w:w="0" w:type="nil"/>
      <w:tblCellMar>
        <w:top w:w="100" w:type="dxa"/>
        <w:left w:w="100" w:type="dxa"/>
        <w:bottom w:w="100" w:type="dxa"/>
        <w:right w:w="100" w:type="dxa"/>
      </w:tblCellMar>
    </w:tblPr>
  </w:style>
  <w:style w:type="table" w:customStyle="1" w:styleId="4">
    <w:name w:val="4"/>
    <w:basedOn w:val="TableNormal"/>
    <w:rsid w:val="0006702C"/>
    <w:pPr>
      <w:spacing w:after="0" w:line="240" w:lineRule="auto"/>
    </w:pPr>
    <w:rPr>
      <w:rFonts w:ascii="Arial" w:eastAsia="Arial" w:hAnsi="Arial" w:cs="Arial"/>
      <w:kern w:val="0"/>
      <w:lang w:val="en" w:eastAsia="zh-CN"/>
      <w14:ligatures w14:val="none"/>
    </w:rPr>
    <w:tblPr>
      <w:tblStyleRowBandSize w:val="1"/>
      <w:tblStyleColBandSize w:val="1"/>
      <w:tblInd w:w="0" w:type="nil"/>
      <w:tblCellMar>
        <w:top w:w="100" w:type="dxa"/>
        <w:left w:w="100" w:type="dxa"/>
        <w:bottom w:w="100" w:type="dxa"/>
        <w:right w:w="100" w:type="dxa"/>
      </w:tblCellMar>
    </w:tblPr>
  </w:style>
  <w:style w:type="table" w:customStyle="1" w:styleId="2">
    <w:name w:val="2"/>
    <w:basedOn w:val="TableNormal"/>
    <w:rsid w:val="0006702C"/>
    <w:pPr>
      <w:spacing w:after="0" w:line="276" w:lineRule="auto"/>
    </w:pPr>
    <w:rPr>
      <w:rFonts w:ascii="Arial" w:eastAsia="Arial" w:hAnsi="Arial" w:cs="Arial"/>
      <w:kern w:val="0"/>
      <w:lang w:val="en" w:eastAsia="zh-CN"/>
      <w14:ligatures w14:val="none"/>
    </w:rPr>
    <w:tblPr>
      <w:tblStyleRowBandSize w:val="1"/>
      <w:tblStyleColBandSize w:val="1"/>
      <w:tblInd w:w="0" w:type="nil"/>
      <w:tblCellMar>
        <w:top w:w="100" w:type="dxa"/>
        <w:left w:w="100" w:type="dxa"/>
        <w:bottom w:w="100" w:type="dxa"/>
        <w:right w:w="100" w:type="dxa"/>
      </w:tblCellMar>
    </w:tblPr>
  </w:style>
  <w:style w:type="table" w:customStyle="1" w:styleId="1">
    <w:name w:val="1"/>
    <w:basedOn w:val="TableNormal"/>
    <w:rsid w:val="0006702C"/>
    <w:pPr>
      <w:spacing w:after="0" w:line="276" w:lineRule="auto"/>
    </w:pPr>
    <w:rPr>
      <w:rFonts w:ascii="Arial" w:eastAsia="Arial" w:hAnsi="Arial" w:cs="Arial"/>
      <w:kern w:val="0"/>
      <w:lang w:val="en" w:eastAsia="zh-CN"/>
      <w14:ligatures w14:val="none"/>
    </w:rPr>
    <w:tblPr>
      <w:tblStyleRowBandSize w:val="1"/>
      <w:tblStyleColBandSize w:val="1"/>
      <w:tblInd w:w="0" w:type="nil"/>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06702C"/>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eastAsia="Arial" w:cs="Arial"/>
      <w:kern w:val="0"/>
      <w:sz w:val="20"/>
      <w:szCs w:val="20"/>
      <w:lang w:val="en" w:eastAsia="zh-CN"/>
      <w14:ligatures w14:val="none"/>
    </w:rPr>
  </w:style>
  <w:style w:type="paragraph" w:styleId="TOC1">
    <w:name w:val="toc 1"/>
    <w:basedOn w:val="Normal"/>
    <w:next w:val="Normal"/>
    <w:autoRedefine/>
    <w:uiPriority w:val="39"/>
    <w:unhideWhenUsed/>
    <w:rsid w:val="001A7F97"/>
    <w:pPr>
      <w:spacing w:after="100"/>
    </w:pPr>
  </w:style>
  <w:style w:type="paragraph" w:styleId="TOC2">
    <w:name w:val="toc 2"/>
    <w:basedOn w:val="Normal"/>
    <w:next w:val="Normal"/>
    <w:autoRedefine/>
    <w:uiPriority w:val="39"/>
    <w:unhideWhenUsed/>
    <w:rsid w:val="001A7F97"/>
    <w:pPr>
      <w:spacing w:after="100"/>
      <w:ind w:left="240"/>
    </w:pPr>
  </w:style>
  <w:style w:type="paragraph" w:styleId="TOC3">
    <w:name w:val="toc 3"/>
    <w:basedOn w:val="Normal"/>
    <w:next w:val="Normal"/>
    <w:autoRedefine/>
    <w:uiPriority w:val="39"/>
    <w:unhideWhenUsed/>
    <w:rsid w:val="001A7F9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58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8/08/relationships/commentsExtensible" Target="commentsExtensible.xm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implize.vn/" TargetMode="External"/><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51DAADAED57C04FA2F4957D6E1F0FEB" ma:contentTypeVersion="17" ma:contentTypeDescription="Create a new document." ma:contentTypeScope="" ma:versionID="3dafe1d739ecbd58a10d26e203c1ffa9">
  <xsd:schema xmlns:xsd="http://www.w3.org/2001/XMLSchema" xmlns:xs="http://www.w3.org/2001/XMLSchema" xmlns:p="http://schemas.microsoft.com/office/2006/metadata/properties" xmlns:ns3="9309e68d-8d31-4649-9ddf-dad5c0a02300" xmlns:ns4="48fba245-c897-48ed-8b47-476042f854e4" targetNamespace="http://schemas.microsoft.com/office/2006/metadata/properties" ma:root="true" ma:fieldsID="a38f58a9ec4d1534efda656dbdc25fda" ns3:_="" ns4:_="">
    <xsd:import namespace="9309e68d-8d31-4649-9ddf-dad5c0a02300"/>
    <xsd:import namespace="48fba245-c897-48ed-8b47-476042f854e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09e68d-8d31-4649-9ddf-dad5c0a023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_activity" ma:index="24"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8fba245-c897-48ed-8b47-476042f854e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9309e68d-8d31-4649-9ddf-dad5c0a02300" xsi:nil="true"/>
  </documentManagement>
</p:properties>
</file>

<file path=customXml/itemProps1.xml><?xml version="1.0" encoding="utf-8"?>
<ds:datastoreItem xmlns:ds="http://schemas.openxmlformats.org/officeDocument/2006/customXml" ds:itemID="{C4F16939-61B5-4961-9102-C4EF36DB33B4}">
  <ds:schemaRefs>
    <ds:schemaRef ds:uri="http://schemas.microsoft.com/sharepoint/v3/contenttype/forms"/>
  </ds:schemaRefs>
</ds:datastoreItem>
</file>

<file path=customXml/itemProps2.xml><?xml version="1.0" encoding="utf-8"?>
<ds:datastoreItem xmlns:ds="http://schemas.openxmlformats.org/officeDocument/2006/customXml" ds:itemID="{FDF6849F-8173-429D-B9D9-E0B6EDB3E7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09e68d-8d31-4649-9ddf-dad5c0a02300"/>
    <ds:schemaRef ds:uri="48fba245-c897-48ed-8b47-476042f854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CAE3DA-5FEB-4FEB-ACEC-2F03D6CFF88A}">
  <ds:schemaRefs>
    <ds:schemaRef ds:uri="http://schemas.microsoft.com/office/2006/metadata/properties"/>
    <ds:schemaRef ds:uri="http://schemas.microsoft.com/office/infopath/2007/PartnerControls"/>
    <ds:schemaRef ds:uri="9309e68d-8d31-4649-9ddf-dad5c0a02300"/>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7469</Words>
  <Characters>42574</Characters>
  <Application>Microsoft Office Word</Application>
  <DocSecurity>0</DocSecurity>
  <Lines>354</Lines>
  <Paragraphs>99</Paragraphs>
  <ScaleCrop>false</ScaleCrop>
  <Company/>
  <LinksUpToDate>false</LinksUpToDate>
  <CharactersWithSpaces>49944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 Thai</dc:creator>
  <cp:keywords/>
  <dc:description/>
  <cp:lastModifiedBy>Tran Duc Thai</cp:lastModifiedBy>
  <cp:revision>3</cp:revision>
  <dcterms:created xsi:type="dcterms:W3CDTF">2024-06-10T02:47:00Z</dcterms:created>
  <dcterms:modified xsi:type="dcterms:W3CDTF">2024-06-10T03:29:00Z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0x010100E51DAADAED57C04FA2F4957D6E1F0FEB</vt:lpwstr>
  </property>
</Properties>
</file>