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spacing w:val="60"/>
          <w:sz w:val="44"/>
          <w:szCs w:val="44"/>
        </w:rPr>
        <w:t xml:space="preserve">JUAN 卷</w:t>
      </w:r>
    </w:p>
    <w:p>
      <w:pPr>
        <w:spacing w:after="80"/>
        <w:jc w:val="center"/>
      </w:pPr>
      <w:r>
        <w:rPr>
          <w:rFonts w:ascii="Cambria" w:cs="Cambria" w:eastAsia="Cambria" w:hAnsi="Cambria"/>
          <w:i/>
          <w:iCs/>
          <w:sz w:val="26"/>
          <w:szCs w:val="26"/>
        </w:rPr>
        <w:t xml:space="preserve">A Philological Note on the Chapter Unit of the Standard Histories</w:t>
      </w:r>
    </w:p>
    <w:p>
      <w:pPr>
        <w:spacing w:after="100"/>
        <w:jc w:val="center"/>
      </w:pPr>
      <w:r>
        <w:rPr>
          <w:rFonts w:ascii="Cambria" w:cs="Cambria" w:eastAsia="Cambria" w:hAnsi="Cambria"/>
          <w:smallCaps/>
          <w:color w:val="555555"/>
          <w:sz w:val="20"/>
          <w:szCs w:val="20"/>
        </w:rPr>
        <w:t xml:space="preserve">AID (AI and Database), the AID research database of Asian Studies · Documentation</w:t>
      </w:r>
    </w:p>
    <w:p>
      <w:pPr>
        <w:spacing w:after="100"/>
        <w:jc w:val="center"/>
      </w:pPr>
      <w:r>
        <w:rPr>
          <w:rFonts w:ascii="Cambria" w:cs="Cambria" w:eastAsia="Cambria" w:hAnsi="Cambria"/>
          <w:color w:val="555555"/>
          <w:sz w:val="18"/>
          <w:szCs w:val="18"/>
        </w:rPr>
        <w:t xml:space="preserve">Computational Archaeology Laboratory, Institute of Archaeology, Hebrew University of Jerusalem</w:t>
      </w:r>
    </w:p>
    <w:p>
      <w:pPr>
        <w:pBdr>
          <w:bottom w:val="single" w:color="999999" w:sz="6" w:space="8"/>
        </w:pBdr>
        <w:spacing w:after="360"/>
        <w:jc w:val="center"/>
      </w:pPr>
      <w:r>
        <w:rPr>
          <w:rFonts w:ascii="Cambria" w:cs="Cambria" w:eastAsia="Cambria" w:hAnsi="Cambria"/>
          <w:color w:val="555555"/>
          <w:sz w:val="18"/>
          <w:szCs w:val="18"/>
        </w:rPr>
        <w:t xml:space="preserve">October 2026</w:t>
      </w:r>
    </w:p>
    <w:p>
      <w:pPr>
        <w:pStyle w:val="Heading1"/>
        <w:spacing w:after="160" w:before="360"/>
      </w:pPr>
      <w:r>
        <w:t xml:space="preserve">1. The term as used in this project</w:t>
      </w:r>
    </w:p>
    <w:p>
      <w:pPr>
        <w:spacing w:after="160" w:line="300"/>
        <w:jc w:val="both"/>
      </w:pPr>
      <w:r>
        <w:rPr>
          <w:rFonts w:ascii="Cambria" w:cs="Cambria" w:eastAsia="Cambria" w:hAnsi="Cambria"/>
        </w:rPr>
        <w:t xml:space="preserve">This project uses the term </w:t>
      </w:r>
      <w:r>
        <w:rPr>
          <w:rFonts w:ascii="Cambria" w:cs="Cambria" w:eastAsia="Cambria" w:hAnsi="Cambria"/>
          <w:b/>
          <w:bCs/>
          <w:i/>
          <w:iCs/>
        </w:rPr>
        <w:t xml:space="preserve">juan</w:t>
      </w:r>
      <w:r>
        <w:rPr>
          <w:rFonts w:ascii="Cambria" w:cs="Cambria" w:eastAsia="Cambria" w:hAnsi="Cambria"/>
        </w:rPr>
        <w:t xml:space="preserve"> (卷) for the primary division of every history in the corpus. Each text is held as a sequence of numbered </w:t>
      </w:r>
      <w:r>
        <w:rPr>
          <w:rFonts w:ascii="Cambria" w:cs="Cambria" w:eastAsia="Cambria" w:hAnsi="Cambria"/>
          <w:i/>
          <w:iCs/>
        </w:rPr>
        <w:t xml:space="preserve">juan</w:t>
      </w:r>
      <w:r>
        <w:rPr>
          <w:rFonts w:ascii="Cambria" w:cs="Cambria" w:eastAsia="Cambria" w:hAnsi="Cambria"/>
        </w:rPr>
        <w:t xml:space="preserve">, and every segment, translation and citation in the database is anchored to a </w:t>
      </w:r>
      <w:r>
        <w:rPr>
          <w:rFonts w:ascii="Cambria" w:cs="Cambria" w:eastAsia="Cambria" w:hAnsi="Cambria"/>
          <w:i/>
          <w:iCs/>
        </w:rPr>
        <w:t xml:space="preserve">juan</w:t>
      </w:r>
      <w:r>
        <w:rPr>
          <w:rFonts w:ascii="Cambria" w:cs="Cambria" w:eastAsia="Cambria" w:hAnsi="Cambria"/>
        </w:rPr>
        <w:t xml:space="preserve"> number and a position within it. For the </w:t>
      </w:r>
      <w:r>
        <w:rPr>
          <w:rFonts w:ascii="Cambria" w:cs="Cambria" w:eastAsia="Cambria" w:hAnsi="Cambria"/>
          <w:i/>
          <w:iCs/>
        </w:rPr>
        <w:t xml:space="preserve">Liaoshi</w:t>
      </w:r>
      <w:r>
        <w:rPr>
          <w:rFonts w:ascii="Cambria" w:cs="Cambria" w:eastAsia="Cambria" w:hAnsi="Cambria"/>
        </w:rPr>
        <w:t xml:space="preserve"> 遼史 (code LS) the corpus follows the Zhonghua shuju punctuated edition, which numbers 116 </w:t>
      </w:r>
      <w:r>
        <w:rPr>
          <w:rFonts w:ascii="Cambria" w:cs="Cambria" w:eastAsia="Cambria" w:hAnsi="Cambria"/>
          <w:i/>
          <w:iCs/>
        </w:rPr>
        <w:t xml:space="preserve">juan</w:t>
      </w:r>
      <w:r>
        <w:rPr>
          <w:rFonts w:ascii="Cambria" w:cs="Cambria" w:eastAsia="Cambria" w:hAnsi="Cambria"/>
        </w:rPr>
        <w:t xml:space="preserve"> consecutively across the Basic Annals, Treatises, Tables and Biographies; the </w:t>
      </w:r>
      <w:r>
        <w:rPr>
          <w:rFonts w:ascii="Cambria" w:cs="Cambria" w:eastAsia="Cambria" w:hAnsi="Cambria"/>
          <w:i/>
          <w:iCs/>
        </w:rPr>
        <w:t xml:space="preserve">Xin Wudai shi</w:t>
      </w:r>
      <w:r>
        <w:rPr>
          <w:rFonts w:ascii="Cambria" w:cs="Cambria" w:eastAsia="Cambria" w:hAnsi="Cambria"/>
        </w:rPr>
        <w:t xml:space="preserve"> 新五代史 (code XW) is handled in the same way with its 74 </w:t>
      </w:r>
      <w:r>
        <w:rPr>
          <w:rFonts w:ascii="Cambria" w:cs="Cambria" w:eastAsia="Cambria" w:hAnsi="Cambria"/>
          <w:i/>
          <w:iCs/>
        </w:rPr>
        <w:t xml:space="preserve">juan</w:t>
      </w:r>
      <w:r>
        <w:rPr>
          <w:rFonts w:ascii="Cambria" w:cs="Cambria" w:eastAsia="Cambria" w:hAnsi="Cambria"/>
        </w:rPr>
        <w:t xml:space="preserve">.</w:t>
      </w:r>
    </w:p>
    <w:p>
      <w:pPr>
        <w:spacing w:after="160" w:line="300"/>
        <w:jc w:val="both"/>
      </w:pPr>
      <w:r>
        <w:rPr>
          <w:rFonts w:ascii="Cambria" w:cs="Cambria" w:eastAsia="Cambria" w:hAnsi="Cambria"/>
        </w:rPr>
        <w:t xml:space="preserve">The word is kept untranslated in the schema, in the user interface and in citations (for example LS 37). Where an English gloss is needed for readers unfamiliar with the Chinese bibliographical tradition, the project glosses it as “chapter (</w:t>
      </w:r>
      <w:r>
        <w:rPr>
          <w:rFonts w:ascii="Cambria" w:cs="Cambria" w:eastAsia="Cambria" w:hAnsi="Cambria"/>
          <w:i/>
          <w:iCs/>
        </w:rPr>
        <w:t xml:space="preserve">juan</w:t>
      </w:r>
      <w:r>
        <w:rPr>
          <w:rFonts w:ascii="Cambria" w:cs="Cambria" w:eastAsia="Cambria" w:hAnsi="Cambria"/>
        </w:rPr>
        <w:t xml:space="preserve">)”. This note explains what the term means, why the gloss is “chapter” rather than “volume”, “scroll” or “fascicle”, and how the principal Western scholarly literature renders it.</w:t>
      </w:r>
    </w:p>
    <w:p>
      <w:pPr>
        <w:pStyle w:val="Heading1"/>
        <w:spacing w:after="160" w:before="360"/>
      </w:pPr>
      <w:r>
        <w:t xml:space="preserve">2. Etymology and reading</w:t>
      </w:r>
    </w:p>
    <w:p>
      <w:pPr>
        <w:spacing w:after="160" w:line="300"/>
        <w:jc w:val="both"/>
      </w:pPr>
      <w:r>
        <w:rPr>
          <w:rFonts w:ascii="Cambria" w:cs="Cambria" w:eastAsia="Cambria" w:hAnsi="Cambria"/>
        </w:rPr>
        <w:t xml:space="preserve">The character 卷 carries two readings. Read </w:t>
      </w:r>
      <w:r>
        <w:rPr>
          <w:rFonts w:ascii="Cambria" w:cs="Cambria" w:eastAsia="Cambria" w:hAnsi="Cambria"/>
          <w:i/>
          <w:iCs/>
        </w:rPr>
        <w:t xml:space="preserve">juǎn</w:t>
      </w:r>
      <w:r>
        <w:rPr>
          <w:rFonts w:ascii="Cambria" w:cs="Cambria" w:eastAsia="Cambria" w:hAnsi="Cambria"/>
        </w:rPr>
        <w:t xml:space="preserve"> (Middle Chinese </w:t>
      </w:r>
      <w:r>
        <w:rPr>
          <w:rFonts w:ascii="Cambria" w:cs="Cambria" w:eastAsia="Cambria" w:hAnsi="Cambria"/>
          <w:i/>
          <w:iCs/>
        </w:rPr>
        <w:t xml:space="preserve">kjwenX</w:t>
      </w:r>
      <w:r>
        <w:rPr>
          <w:rFonts w:ascii="Cambria" w:cs="Cambria" w:eastAsia="Cambria" w:hAnsi="Cambria"/>
        </w:rPr>
        <w:t xml:space="preserve">) it is a verb, “to roll, to roll up”; read </w:t>
      </w:r>
      <w:r>
        <w:rPr>
          <w:rFonts w:ascii="Cambria" w:cs="Cambria" w:eastAsia="Cambria" w:hAnsi="Cambria"/>
          <w:i/>
          <w:iCs/>
        </w:rPr>
        <w:t xml:space="preserve">juàn</w:t>
      </w:r>
      <w:r>
        <w:rPr>
          <w:rFonts w:ascii="Cambria" w:cs="Cambria" w:eastAsia="Cambria" w:hAnsi="Cambria"/>
        </w:rPr>
        <w:t xml:space="preserve"> (Middle Chinese </w:t>
      </w:r>
      <w:r>
        <w:rPr>
          <w:rFonts w:ascii="Cambria" w:cs="Cambria" w:eastAsia="Cambria" w:hAnsi="Cambria"/>
          <w:i/>
          <w:iCs/>
        </w:rPr>
        <w:t xml:space="preserve">kjwenH</w:t>
      </w:r>
      <w:r>
        <w:rPr>
          <w:rFonts w:ascii="Cambria" w:cs="Cambria" w:eastAsia="Cambria" w:hAnsi="Cambria"/>
        </w:rPr>
        <w:t xml:space="preserve">) it is a noun denoting the thing rolled, a scroll. The noun is a derivational formation from the verb by the familiar departing-tone (</w:t>
      </w:r>
      <w:r>
        <w:rPr>
          <w:rFonts w:ascii="Cambria" w:cs="Cambria" w:eastAsia="Cambria" w:hAnsi="Cambria"/>
          <w:i/>
          <w:iCs/>
        </w:rPr>
        <w:t xml:space="preserve">qusheng</w:t>
      </w:r>
      <w:r>
        <w:rPr>
          <w:rFonts w:ascii="Cambria" w:cs="Cambria" w:eastAsia="Cambria" w:hAnsi="Cambria"/>
        </w:rPr>
        <w:t xml:space="preserve"> 去聲) alternation, so that the bibliographical sense is historically “a roll”.</w:t>
      </w:r>
      <w:r>
        <w:rPr>
          <w:rStyle w:val="FootnoteReference"/>
        </w:rPr>
        <w:footnoteReference w:id="1"/>
      </w:r>
      <w:r>
        <w:rPr>
          <w:rFonts w:ascii="Cambria" w:cs="Cambria" w:eastAsia="Cambria" w:hAnsi="Cambria"/>
        </w:rPr>
        <w:t xml:space="preserve"> The graph is phono-semantic: the phonetic element is shared with words of rolling and bending (compare 捲, 蜷), the semantic element 卩 depicts a kneeling, bent figure. The idea of curvature is thus present in both halves of the character.</w:t>
      </w:r>
      <w:r>
        <w:rPr>
          <w:rStyle w:val="FootnoteReference"/>
        </w:rPr>
        <w:footnoteReference w:id="2"/>
      </w:r>
    </w:p>
    <w:p>
      <w:pPr>
        <w:pStyle w:val="Heading1"/>
        <w:spacing w:after="160" w:before="360"/>
      </w:pPr>
      <w:r>
        <w:t xml:space="preserve">3. The material origin of the unit</w:t>
      </w:r>
    </w:p>
    <w:p>
      <w:pPr>
        <w:spacing w:after="160" w:line="300"/>
        <w:jc w:val="both"/>
      </w:pPr>
      <w:r>
        <w:rPr>
          <w:rFonts w:ascii="Cambria" w:cs="Cambria" w:eastAsia="Cambria" w:hAnsi="Cambria"/>
          <w:i/>
          <w:iCs/>
        </w:rPr>
        <w:t xml:space="preserve">Juan</w:t>
      </w:r>
      <w:r>
        <w:rPr>
          <w:rFonts w:ascii="Cambria" w:cs="Cambria" w:eastAsia="Cambria" w:hAnsi="Cambria"/>
        </w:rPr>
        <w:t xml:space="preserve"> is in origin a unit of physical format, not of composition. Before paper, a book was a set of bamboo or wooden slips (</w:t>
      </w:r>
      <w:r>
        <w:rPr>
          <w:rFonts w:ascii="Cambria" w:cs="Cambria" w:eastAsia="Cambria" w:hAnsi="Cambria"/>
          <w:i/>
          <w:iCs/>
        </w:rPr>
        <w:t xml:space="preserve">jian</w:t>
      </w:r>
      <w:r>
        <w:rPr>
          <w:rFonts w:ascii="Cambria" w:cs="Cambria" w:eastAsia="Cambria" w:hAnsi="Cambria"/>
        </w:rPr>
        <w:t xml:space="preserve"> 簡) inscribed in single columns, bound with cords into a mat, and rolled for storage; silk (</w:t>
      </w:r>
      <w:r>
        <w:rPr>
          <w:rFonts w:ascii="Cambria" w:cs="Cambria" w:eastAsia="Cambria" w:hAnsi="Cambria"/>
          <w:i/>
          <w:iCs/>
        </w:rPr>
        <w:t xml:space="preserve">bo</w:t>
      </w:r>
      <w:r>
        <w:rPr>
          <w:rFonts w:ascii="Cambria" w:cs="Cambria" w:eastAsia="Cambria" w:hAnsi="Cambria"/>
        </w:rPr>
        <w:t xml:space="preserve"> 帛) was likewise written in sheets and rolled. A long work therefore consisted of several rolls, each labelled on its outer end with the chapters it contained.</w:t>
      </w:r>
      <w:r>
        <w:rPr>
          <w:rStyle w:val="FootnoteReference"/>
        </w:rPr>
        <w:footnoteReference w:id="3"/>
      </w:r>
      <w:r>
        <w:rPr>
          <w:rFonts w:ascii="Cambria" w:cs="Cambria" w:eastAsia="Cambria" w:hAnsi="Cambria"/>
        </w:rPr>
        <w:t xml:space="preserve"> When paper replaced bamboo and silk in the early centuries CE, the paper roll (</w:t>
      </w:r>
      <w:r>
        <w:rPr>
          <w:rFonts w:ascii="Cambria" w:cs="Cambria" w:eastAsia="Cambria" w:hAnsi="Cambria"/>
          <w:i/>
          <w:iCs/>
        </w:rPr>
        <w:t xml:space="preserve">juanzhou</w:t>
      </w:r>
      <w:r>
        <w:rPr>
          <w:rFonts w:ascii="Cambria" w:cs="Cambria" w:eastAsia="Cambria" w:hAnsi="Cambria"/>
        </w:rPr>
        <w:t xml:space="preserve"> 卷軸) inherited both the name and the approximate size of the earlier roll, so that the count of </w:t>
      </w:r>
      <w:r>
        <w:rPr>
          <w:rFonts w:ascii="Cambria" w:cs="Cambria" w:eastAsia="Cambria" w:hAnsi="Cambria"/>
          <w:i/>
          <w:iCs/>
        </w:rPr>
        <w:t xml:space="preserve">juan</w:t>
      </w:r>
      <w:r>
        <w:rPr>
          <w:rFonts w:ascii="Cambria" w:cs="Cambria" w:eastAsia="Cambria" w:hAnsi="Cambria"/>
        </w:rPr>
        <w:t xml:space="preserve"> remained a serviceable measure of a work’s length. The later codex formats of the Song and after, the butterfly binding and the thread-stitched booklet, preserved the </w:t>
      </w:r>
      <w:r>
        <w:rPr>
          <w:rFonts w:ascii="Cambria" w:cs="Cambria" w:eastAsia="Cambria" w:hAnsi="Cambria"/>
          <w:i/>
          <w:iCs/>
        </w:rPr>
        <w:t xml:space="preserve">juan</w:t>
      </w:r>
      <w:r>
        <w:rPr>
          <w:rFonts w:ascii="Cambria" w:cs="Cambria" w:eastAsia="Cambria" w:hAnsi="Cambria"/>
        </w:rPr>
        <w:t xml:space="preserve"> as a nominal unit even though the physical object had ceased to be a roll.</w:t>
      </w:r>
      <w:r>
        <w:rPr>
          <w:rStyle w:val="FootnoteReference"/>
        </w:rPr>
        <w:footnoteReference w:id="4"/>
      </w:r>
    </w:p>
    <w:p>
      <w:pPr>
        <w:spacing w:after="160" w:line="300"/>
        <w:jc w:val="both"/>
      </w:pPr>
      <w:r>
        <w:rPr>
          <w:rFonts w:ascii="Cambria" w:cs="Cambria" w:eastAsia="Cambria" w:hAnsi="Cambria"/>
        </w:rPr>
        <w:t xml:space="preserve">The consequence for the philologist is that the numbered </w:t>
      </w:r>
      <w:r>
        <w:rPr>
          <w:rFonts w:ascii="Cambria" w:cs="Cambria" w:eastAsia="Cambria" w:hAnsi="Cambria"/>
          <w:i/>
          <w:iCs/>
        </w:rPr>
        <w:t xml:space="preserve">juan</w:t>
      </w:r>
      <w:r>
        <w:rPr>
          <w:rFonts w:ascii="Cambria" w:cs="Cambria" w:eastAsia="Cambria" w:hAnsi="Cambria"/>
        </w:rPr>
        <w:t xml:space="preserve"> of a received text records a decision about how much writing fitted on one roll, taken by an editor or copyist at some point in the transmission, and not necessarily a boundary of sense. The catalogue in the </w:t>
      </w:r>
      <w:r>
        <w:rPr>
          <w:rFonts w:ascii="Cambria" w:cs="Cambria" w:eastAsia="Cambria" w:hAnsi="Cambria"/>
          <w:i/>
          <w:iCs/>
        </w:rPr>
        <w:t xml:space="preserve">Hanshu</w:t>
      </w:r>
      <w:r>
        <w:rPr>
          <w:rFonts w:ascii="Cambria" w:cs="Cambria" w:eastAsia="Cambria" w:hAnsi="Cambria"/>
        </w:rPr>
        <w:t xml:space="preserve"> 漢書 bibliographical treatise counts the imperial library of the first century BCE in both </w:t>
      </w:r>
      <w:r>
        <w:rPr>
          <w:rFonts w:ascii="Cambria" w:cs="Cambria" w:eastAsia="Cambria" w:hAnsi="Cambria"/>
          <w:i/>
          <w:iCs/>
        </w:rPr>
        <w:t xml:space="preserve">pian</w:t>
      </w:r>
      <w:r>
        <w:rPr>
          <w:rFonts w:ascii="Cambria" w:cs="Cambria" w:eastAsia="Cambria" w:hAnsi="Cambria"/>
        </w:rPr>
        <w:t xml:space="preserve"> 篇 and </w:t>
      </w:r>
      <w:r>
        <w:rPr>
          <w:rFonts w:ascii="Cambria" w:cs="Cambria" w:eastAsia="Cambria" w:hAnsi="Cambria"/>
          <w:i/>
          <w:iCs/>
        </w:rPr>
        <w:t xml:space="preserve">juan</w:t>
      </w:r>
      <w:r>
        <w:rPr>
          <w:rFonts w:ascii="Cambria" w:cs="Cambria" w:eastAsia="Cambria" w:hAnsi="Cambria"/>
        </w:rPr>
        <w:t xml:space="preserve"> 卷, and the two totals do not coincide.</w:t>
      </w:r>
      <w:r>
        <w:rPr>
          <w:rStyle w:val="FootnoteReference"/>
        </w:rPr>
        <w:footnoteReference w:id="5"/>
      </w:r>
    </w:p>
    <w:p>
      <w:pPr>
        <w:pStyle w:val="Heading1"/>
        <w:spacing w:after="160" w:before="360"/>
      </w:pPr>
      <w:r>
        <w:t xml:space="preserve">4. Juan, pian, ce: three units that are not the same</w:t>
      </w:r>
    </w:p>
    <w:p>
      <w:pPr>
        <w:spacing w:after="160" w:line="300"/>
        <w:jc w:val="both"/>
      </w:pPr>
      <w:r>
        <w:rPr>
          <w:rFonts w:ascii="Cambria" w:cs="Cambria" w:eastAsia="Cambria" w:hAnsi="Cambria"/>
        </w:rPr>
        <w:t xml:space="preserve">Three terms are liable to be collapsed into the single English word “chapter” or “volume”, and the project keeps them distinct.</w:t>
      </w:r>
    </w:p>
    <w:p>
      <w:pPr>
        <w:spacing w:after="160" w:line="300"/>
        <w:jc w:val="both"/>
      </w:pPr>
      <w:r>
        <w:rPr>
          <w:rFonts w:ascii="Cambria" w:cs="Cambria" w:eastAsia="Cambria" w:hAnsi="Cambria"/>
          <w:i/>
          <w:iCs/>
        </w:rPr>
        <w:t xml:space="preserve">Pian</w:t>
      </w:r>
      <w:r>
        <w:rPr>
          <w:rFonts w:ascii="Cambria" w:cs="Cambria" w:eastAsia="Cambria" w:hAnsi="Cambria"/>
        </w:rPr>
        <w:t xml:space="preserve"> 篇 is the unit of composition: a self-contained piece of text with its own title, the “separate textual unit” of the early manuscript tradition.</w:t>
      </w:r>
      <w:r>
        <w:rPr>
          <w:rStyle w:val="FootnoteReference"/>
        </w:rPr>
        <w:footnoteReference w:id="6"/>
      </w:r>
      <w:r>
        <w:rPr>
          <w:rFonts w:ascii="Cambria" w:cs="Cambria" w:eastAsia="Cambria" w:hAnsi="Cambria"/>
        </w:rPr>
        <w:t xml:space="preserve"> The graph itself derives from the bamboo slip. A </w:t>
      </w:r>
      <w:r>
        <w:rPr>
          <w:rFonts w:ascii="Cambria" w:cs="Cambria" w:eastAsia="Cambria" w:hAnsi="Cambria"/>
          <w:i/>
          <w:iCs/>
        </w:rPr>
        <w:t xml:space="preserve">pian</w:t>
      </w:r>
      <w:r>
        <w:rPr>
          <w:rFonts w:ascii="Cambria" w:cs="Cambria" w:eastAsia="Cambria" w:hAnsi="Cambria"/>
        </w:rPr>
        <w:t xml:space="preserve"> may occupy less than one roll or more than one. The clearest demonstration is the </w:t>
      </w:r>
      <w:r>
        <w:rPr>
          <w:rFonts w:ascii="Cambria" w:cs="Cambria" w:eastAsia="Cambria" w:hAnsi="Cambria"/>
          <w:i/>
          <w:iCs/>
        </w:rPr>
        <w:t xml:space="preserve">Yi Zhou shu</w:t>
      </w:r>
      <w:r>
        <w:rPr>
          <w:rFonts w:ascii="Cambria" w:cs="Cambria" w:eastAsia="Cambria" w:hAnsi="Cambria"/>
        </w:rPr>
        <w:t xml:space="preserve"> 逸周書, which in its Han redaction comprised seventy </w:t>
      </w:r>
      <w:r>
        <w:rPr>
          <w:rFonts w:ascii="Cambria" w:cs="Cambria" w:eastAsia="Cambria" w:hAnsi="Cambria"/>
          <w:i/>
          <w:iCs/>
        </w:rPr>
        <w:t xml:space="preserve">pian</w:t>
      </w:r>
      <w:r>
        <w:rPr>
          <w:rFonts w:ascii="Cambria" w:cs="Cambria" w:eastAsia="Cambria" w:hAnsi="Cambria"/>
        </w:rPr>
        <w:t xml:space="preserve"> with a preface, but which the Sui and Tang catalogues list in ten </w:t>
      </w:r>
      <w:r>
        <w:rPr>
          <w:rFonts w:ascii="Cambria" w:cs="Cambria" w:eastAsia="Cambria" w:hAnsi="Cambria"/>
          <w:i/>
          <w:iCs/>
        </w:rPr>
        <w:t xml:space="preserve">juan</w:t>
      </w:r>
      <w:r>
        <w:rPr>
          <w:rFonts w:ascii="Cambria" w:cs="Cambria" w:eastAsia="Cambria" w:hAnsi="Cambria"/>
        </w:rPr>
        <w:t xml:space="preserve"> and, in a second recension, eight.</w:t>
      </w:r>
      <w:r>
        <w:rPr>
          <w:rStyle w:val="FootnoteReference"/>
        </w:rPr>
        <w:footnoteReference w:id="7"/>
      </w:r>
    </w:p>
    <w:p>
      <w:pPr>
        <w:spacing w:after="160" w:line="300"/>
        <w:jc w:val="both"/>
      </w:pPr>
      <w:r>
        <w:rPr>
          <w:rFonts w:ascii="Cambria" w:cs="Cambria" w:eastAsia="Cambria" w:hAnsi="Cambria"/>
          <w:i/>
          <w:iCs/>
        </w:rPr>
        <w:t xml:space="preserve">Juan</w:t>
      </w:r>
      <w:r>
        <w:rPr>
          <w:rFonts w:ascii="Cambria" w:cs="Cambria" w:eastAsia="Cambria" w:hAnsi="Cambria"/>
        </w:rPr>
        <w:t xml:space="preserve"> 卷 is the unit of format described above. In the Standard Histories (</w:t>
      </w:r>
      <w:r>
        <w:rPr>
          <w:rFonts w:ascii="Cambria" w:cs="Cambria" w:eastAsia="Cambria" w:hAnsi="Cambria"/>
          <w:i/>
          <w:iCs/>
        </w:rPr>
        <w:t xml:space="preserve">zhengshi</w:t>
      </w:r>
      <w:r>
        <w:rPr>
          <w:rFonts w:ascii="Cambria" w:cs="Cambria" w:eastAsia="Cambria" w:hAnsi="Cambria"/>
        </w:rPr>
        <w:t xml:space="preserve"> 正史) the two units were brought into alignment at the point of compilation: each </w:t>
      </w:r>
      <w:r>
        <w:rPr>
          <w:rFonts w:ascii="Cambria" w:cs="Cambria" w:eastAsia="Cambria" w:hAnsi="Cambria"/>
          <w:i/>
          <w:iCs/>
        </w:rPr>
        <w:t xml:space="preserve">juan</w:t>
      </w:r>
      <w:r>
        <w:rPr>
          <w:rFonts w:ascii="Cambria" w:cs="Cambria" w:eastAsia="Cambria" w:hAnsi="Cambria"/>
        </w:rPr>
        <w:t xml:space="preserve"> of the </w:t>
      </w:r>
      <w:r>
        <w:rPr>
          <w:rFonts w:ascii="Cambria" w:cs="Cambria" w:eastAsia="Cambria" w:hAnsi="Cambria"/>
          <w:i/>
          <w:iCs/>
        </w:rPr>
        <w:t xml:space="preserve">Liaoshi</w:t>
      </w:r>
      <w:r>
        <w:rPr>
          <w:rFonts w:ascii="Cambria" w:cs="Cambria" w:eastAsia="Cambria" w:hAnsi="Cambria"/>
        </w:rPr>
        <w:t xml:space="preserve"> is one annal, one treatise, one table or one group of biographies, carries its own heading, and is numbered consecutively through the work. For these texts, and only because of this editorial alignment, </w:t>
      </w:r>
      <w:r>
        <w:rPr>
          <w:rFonts w:ascii="Cambria" w:cs="Cambria" w:eastAsia="Cambria" w:hAnsi="Cambria"/>
          <w:i/>
          <w:iCs/>
        </w:rPr>
        <w:t xml:space="preserve">juan</w:t>
      </w:r>
      <w:r>
        <w:rPr>
          <w:rFonts w:ascii="Cambria" w:cs="Cambria" w:eastAsia="Cambria" w:hAnsi="Cambria"/>
        </w:rPr>
        <w:t xml:space="preserve"> and “chapter” are co-extensive.</w:t>
      </w:r>
    </w:p>
    <w:p>
      <w:pPr>
        <w:spacing w:after="160" w:line="300"/>
        <w:jc w:val="both"/>
      </w:pPr>
      <w:r>
        <w:rPr>
          <w:rFonts w:ascii="Cambria" w:cs="Cambria" w:eastAsia="Cambria" w:hAnsi="Cambria"/>
          <w:i/>
          <w:iCs/>
        </w:rPr>
        <w:t xml:space="preserve">Ce</w:t>
      </w:r>
      <w:r>
        <w:rPr>
          <w:rFonts w:ascii="Cambria" w:cs="Cambria" w:eastAsia="Cambria" w:hAnsi="Cambria"/>
        </w:rPr>
        <w:t xml:space="preserve"> 冊 is the physically bound volume of a given edition and has no relation to the text’s own divisions. The Zhonghua shuju </w:t>
      </w:r>
      <w:r>
        <w:rPr>
          <w:rFonts w:ascii="Cambria" w:cs="Cambria" w:eastAsia="Cambria" w:hAnsi="Cambria"/>
          <w:i/>
          <w:iCs/>
        </w:rPr>
        <w:t xml:space="preserve">Liaoshi</w:t>
      </w:r>
      <w:r>
        <w:rPr>
          <w:rFonts w:ascii="Cambria" w:cs="Cambria" w:eastAsia="Cambria" w:hAnsi="Cambria"/>
        </w:rPr>
        <w:t xml:space="preserve"> (Beijing, 1974) issues its 116 </w:t>
      </w:r>
      <w:r>
        <w:rPr>
          <w:rFonts w:ascii="Cambria" w:cs="Cambria" w:eastAsia="Cambria" w:hAnsi="Cambria"/>
          <w:i/>
          <w:iCs/>
        </w:rPr>
        <w:t xml:space="preserve">juan</w:t>
      </w:r>
      <w:r>
        <w:rPr>
          <w:rFonts w:ascii="Cambria" w:cs="Cambria" w:eastAsia="Cambria" w:hAnsi="Cambria"/>
        </w:rPr>
        <w:t xml:space="preserve"> in five </w:t>
      </w:r>
      <w:r>
        <w:rPr>
          <w:rFonts w:ascii="Cambria" w:cs="Cambria" w:eastAsia="Cambria" w:hAnsi="Cambria"/>
          <w:i/>
          <w:iCs/>
        </w:rPr>
        <w:t xml:space="preserve">ce</w:t>
      </w:r>
      <w:r>
        <w:rPr>
          <w:rFonts w:ascii="Cambria" w:cs="Cambria" w:eastAsia="Cambria" w:hAnsi="Cambria"/>
        </w:rPr>
        <w:t xml:space="preserve">; a different edition would bind them differently. This is the reason the project never renders </w:t>
      </w:r>
      <w:r>
        <w:rPr>
          <w:rFonts w:ascii="Cambria" w:cs="Cambria" w:eastAsia="Cambria" w:hAnsi="Cambria"/>
          <w:i/>
          <w:iCs/>
        </w:rPr>
        <w:t xml:space="preserve">juan</w:t>
      </w:r>
      <w:r>
        <w:rPr>
          <w:rFonts w:ascii="Cambria" w:cs="Cambria" w:eastAsia="Cambria" w:hAnsi="Cambria"/>
        </w:rPr>
        <w:t xml:space="preserve"> as “volume”: in modern bibliographical English “volume” names precisely the unit that </w:t>
      </w:r>
      <w:r>
        <w:rPr>
          <w:rFonts w:ascii="Cambria" w:cs="Cambria" w:eastAsia="Cambria" w:hAnsi="Cambria"/>
          <w:i/>
          <w:iCs/>
        </w:rPr>
        <w:t xml:space="preserve">juan</w:t>
      </w:r>
      <w:r>
        <w:rPr>
          <w:rFonts w:ascii="Cambria" w:cs="Cambria" w:eastAsia="Cambria" w:hAnsi="Cambria"/>
        </w:rPr>
        <w:t xml:space="preserve"> is not.</w:t>
      </w:r>
      <w:r>
        <w:rPr>
          <w:rStyle w:val="FootnoteReference"/>
        </w:rPr>
        <w:footnoteReference w:id="8"/>
      </w:r>
    </w:p>
    <w:p>
      <w:pPr>
        <w:pStyle w:val="Heading1"/>
        <w:spacing w:after="160" w:before="360"/>
      </w:pPr>
      <w:r>
        <w:t xml:space="preserve">5. Renderings in Western scholarship</w:t>
      </w:r>
    </w:p>
    <w:p>
      <w:pPr>
        <w:spacing w:after="160" w:line="300"/>
        <w:jc w:val="both"/>
      </w:pPr>
      <w:r>
        <w:rPr>
          <w:rFonts w:ascii="Cambria" w:cs="Cambria" w:eastAsia="Cambria" w:hAnsi="Cambria"/>
        </w:rPr>
        <w:t xml:space="preserve">No single English equivalent has established itself; the choice tends to follow the sub-field and the period of the text rather than any difference in meaning. The principal usages are set out below.</w:t>
      </w:r>
    </w:p>
    <w:tbl>
      <w:tblPr>
        <w:tblW w:type="dxa" w:w="9360"/>
        <w:tblBorders>
          <w:top w:val="single" w:color="999999" w:sz="6"/>
          <w:left w:val="none"/>
          <w:bottom w:val="single" w:color="999999" w:sz="6"/>
          <w:right w:val="none"/>
          <w:insideH w:val="single" w:color="CCCCCC" w:sz="4"/>
          <w:insideV w:val="none"/>
        </w:tblBorders>
      </w:tblPr>
      <w:tblGrid>
        <w:gridCol w:w="1700"/>
        <w:gridCol w:w="4500"/>
        <w:gridCol w:w="3160"/>
      </w:tblGrid>
      <w:tr>
        <w:trPr>
          <w:tblHeader/>
        </w:trPr>
        <w:tc>
          <w:tcPr>
            <w:tcW w:type="dxa" w:w="1700"/>
            <w:shd w:fill="EFEFEF" w:color="auto" w:val="clear"/>
            <w:tcMar>
              <w:top w:type="dxa" w:w="80"/>
              <w:left w:type="dxa" w:w="120"/>
              <w:bottom w:type="dxa" w:w="80"/>
              <w:right w:type="dxa" w:w="120"/>
            </w:tcMar>
          </w:tcPr>
          <w:p>
            <w:pPr>
              <w:spacing w:after="0" w:line="260"/>
            </w:pPr>
            <w:r>
              <w:rPr>
                <w:rFonts w:ascii="Cambria" w:cs="Cambria" w:eastAsia="Cambria" w:hAnsi="Cambria"/>
                <w:b/>
                <w:bCs/>
                <w:sz w:val="20"/>
                <w:szCs w:val="20"/>
              </w:rPr>
              <w:t xml:space="preserve">Rendering</w:t>
            </w:r>
          </w:p>
        </w:tc>
        <w:tc>
          <w:tcPr>
            <w:tcW w:type="dxa" w:w="4500"/>
            <w:shd w:fill="EFEFEF" w:color="auto" w:val="clear"/>
            <w:tcMar>
              <w:top w:type="dxa" w:w="80"/>
              <w:left w:type="dxa" w:w="120"/>
              <w:bottom w:type="dxa" w:w="80"/>
              <w:right w:type="dxa" w:w="120"/>
            </w:tcMar>
          </w:tcPr>
          <w:p>
            <w:pPr>
              <w:spacing w:after="0" w:line="260"/>
            </w:pPr>
            <w:r>
              <w:rPr>
                <w:rFonts w:ascii="Cambria" w:cs="Cambria" w:eastAsia="Cambria" w:hAnsi="Cambria"/>
                <w:b/>
                <w:bCs/>
                <w:sz w:val="20"/>
                <w:szCs w:val="20"/>
              </w:rPr>
              <w:t xml:space="preserve">Where it is used</w:t>
            </w:r>
          </w:p>
        </w:tc>
        <w:tc>
          <w:tcPr>
            <w:tcW w:type="dxa" w:w="3160"/>
            <w:shd w:fill="EFEFEF" w:color="auto" w:val="clear"/>
            <w:tcMar>
              <w:top w:type="dxa" w:w="80"/>
              <w:left w:type="dxa" w:w="120"/>
              <w:bottom w:type="dxa" w:w="80"/>
              <w:right w:type="dxa" w:w="120"/>
            </w:tcMar>
          </w:tcPr>
          <w:p>
            <w:pPr>
              <w:spacing w:after="0" w:line="260"/>
            </w:pPr>
            <w:r>
              <w:rPr>
                <w:rFonts w:ascii="Cambria" w:cs="Cambria" w:eastAsia="Cambria" w:hAnsi="Cambria"/>
                <w:b/>
                <w:bCs/>
                <w:sz w:val="20"/>
                <w:szCs w:val="20"/>
              </w:rPr>
              <w:t xml:space="preserve">Representative authorities</w:t>
            </w:r>
          </w:p>
        </w:tc>
      </w:tr>
      <w:tr>
        <w:trPr>
          <w:tblHeader w:val="false"/>
        </w:trPr>
        <w:tc>
          <w:tcPr>
            <w:tcW w:type="dxa" w:w="1700"/>
            <w:tcMar>
              <w:top w:type="dxa" w:w="80"/>
              <w:left w:type="dxa" w:w="120"/>
              <w:bottom w:type="dxa" w:w="80"/>
              <w:right w:type="dxa" w:w="120"/>
            </w:tcMar>
          </w:tcPr>
          <w:p>
            <w:pPr>
              <w:spacing w:after="0" w:line="260"/>
            </w:pPr>
            <w:r>
              <w:rPr>
                <w:rFonts w:ascii="Cambria" w:cs="Cambria" w:eastAsia="Cambria" w:hAnsi="Cambria"/>
                <w:sz w:val="20"/>
                <w:szCs w:val="20"/>
              </w:rPr>
              <w:t xml:space="preserve">chapter</w:t>
            </w:r>
          </w:p>
        </w:tc>
        <w:tc>
          <w:tcPr>
            <w:tcW w:type="dxa" w:w="4500"/>
            <w:tcMar>
              <w:top w:type="dxa" w:w="80"/>
              <w:left w:type="dxa" w:w="120"/>
              <w:bottom w:type="dxa" w:w="80"/>
              <w:right w:type="dxa" w:w="120"/>
            </w:tcMar>
          </w:tcPr>
          <w:p>
            <w:pPr>
              <w:spacing w:after="0" w:line="260"/>
            </w:pPr>
            <w:r>
              <w:rPr>
                <w:rFonts w:ascii="Cambria" w:cs="Cambria" w:eastAsia="Cambria" w:hAnsi="Cambria"/>
                <w:sz w:val="20"/>
                <w:szCs w:val="20"/>
              </w:rPr>
              <w:t xml:space="preserve">The default for the Standard Histories and for most translation and historiographical work on them. Appropriate wherever </w:t>
            </w:r>
            <w:r>
              <w:rPr>
                <w:rFonts w:ascii="Cambria" w:cs="Cambria" w:eastAsia="Cambria" w:hAnsi="Cambria"/>
                <w:i/>
                <w:iCs/>
                <w:sz w:val="20"/>
                <w:szCs w:val="20"/>
              </w:rPr>
              <w:t xml:space="preserve">juan</w:t>
            </w:r>
            <w:r>
              <w:rPr>
                <w:rFonts w:ascii="Cambria" w:cs="Cambria" w:eastAsia="Cambria" w:hAnsi="Cambria"/>
                <w:sz w:val="20"/>
                <w:szCs w:val="20"/>
              </w:rPr>
              <w:t xml:space="preserve"> and compositional unit coincide.</w:t>
            </w:r>
          </w:p>
        </w:tc>
        <w:tc>
          <w:tcPr>
            <w:tcW w:type="dxa" w:w="3160"/>
            <w:tcMar>
              <w:top w:type="dxa" w:w="80"/>
              <w:left w:type="dxa" w:w="120"/>
              <w:bottom w:type="dxa" w:w="80"/>
              <w:right w:type="dxa" w:w="120"/>
            </w:tcMar>
          </w:tcPr>
          <w:p>
            <w:pPr>
              <w:spacing w:after="0" w:line="260"/>
            </w:pPr>
            <w:r>
              <w:rPr>
                <w:rFonts w:ascii="Cambria" w:cs="Cambria" w:eastAsia="Cambria" w:hAnsi="Cambria"/>
                <w:sz w:val="20"/>
                <w:szCs w:val="20"/>
              </w:rPr>
              <w:t xml:space="preserve">Hulsewé and Loewe, </w:t>
            </w:r>
            <w:r>
              <w:rPr>
                <w:rFonts w:ascii="Cambria" w:cs="Cambria" w:eastAsia="Cambria" w:hAnsi="Cambria"/>
                <w:i/>
                <w:iCs/>
                <w:sz w:val="20"/>
                <w:szCs w:val="20"/>
              </w:rPr>
              <w:t xml:space="preserve">China in Central Asia</w:t>
            </w:r>
            <w:r>
              <w:rPr>
                <w:rFonts w:ascii="Cambria" w:cs="Cambria" w:eastAsia="Cambria" w:hAnsi="Cambria"/>
                <w:sz w:val="20"/>
                <w:szCs w:val="20"/>
              </w:rPr>
              <w:t xml:space="preserve"> (1979), “chapters 61 and 96 of the </w:t>
            </w:r>
            <w:r>
              <w:rPr>
                <w:rFonts w:ascii="Cambria" w:cs="Cambria" w:eastAsia="Cambria" w:hAnsi="Cambria"/>
                <w:i/>
                <w:iCs/>
                <w:sz w:val="20"/>
                <w:szCs w:val="20"/>
              </w:rPr>
              <w:t xml:space="preserve">History of the Former Han</w:t>
            </w:r>
            <w:r>
              <w:rPr>
                <w:rFonts w:ascii="Cambria" w:cs="Cambria" w:eastAsia="Cambria" w:hAnsi="Cambria"/>
                <w:sz w:val="20"/>
                <w:szCs w:val="20"/>
              </w:rPr>
              <w:t xml:space="preserve">”; Twitchett, </w:t>
            </w:r>
            <w:r>
              <w:rPr>
                <w:rFonts w:ascii="Cambria" w:cs="Cambria" w:eastAsia="Cambria" w:hAnsi="Cambria"/>
                <w:i/>
                <w:iCs/>
                <w:sz w:val="20"/>
                <w:szCs w:val="20"/>
              </w:rPr>
              <w:t xml:space="preserve">The Writing of Official History under the T’ang</w:t>
            </w:r>
            <w:r>
              <w:rPr>
                <w:rFonts w:ascii="Cambria" w:cs="Cambria" w:eastAsia="Cambria" w:hAnsi="Cambria"/>
                <w:sz w:val="20"/>
                <w:szCs w:val="20"/>
              </w:rPr>
              <w:t xml:space="preserve"> (1992); Watson, </w:t>
            </w:r>
            <w:r>
              <w:rPr>
                <w:rFonts w:ascii="Cambria" w:cs="Cambria" w:eastAsia="Cambria" w:hAnsi="Cambria"/>
                <w:i/>
                <w:iCs/>
                <w:sz w:val="20"/>
                <w:szCs w:val="20"/>
              </w:rPr>
              <w:t xml:space="preserve">Records of the Grand Historian</w:t>
            </w:r>
            <w:r>
              <w:rPr>
                <w:rFonts w:ascii="Cambria" w:cs="Cambria" w:eastAsia="Cambria" w:hAnsi="Cambria"/>
                <w:sz w:val="20"/>
                <w:szCs w:val="20"/>
              </w:rPr>
              <w:t xml:space="preserve">; the </w:t>
            </w:r>
            <w:r>
              <w:rPr>
                <w:rFonts w:ascii="Cambria" w:cs="Cambria" w:eastAsia="Cambria" w:hAnsi="Cambria"/>
                <w:i/>
                <w:iCs/>
                <w:sz w:val="20"/>
                <w:szCs w:val="20"/>
              </w:rPr>
              <w:t xml:space="preserve">Cambridge History of China</w:t>
            </w:r>
            <w:r>
              <w:rPr>
                <w:rFonts w:ascii="Cambria" w:cs="Cambria" w:eastAsia="Cambria" w:hAnsi="Cambria"/>
                <w:sz w:val="20"/>
                <w:szCs w:val="20"/>
              </w:rPr>
              <w:t xml:space="preserve">.</w:t>
            </w:r>
          </w:p>
        </w:tc>
      </w:tr>
      <w:tr>
        <w:trPr>
          <w:tblHeader w:val="false"/>
        </w:trPr>
        <w:tc>
          <w:tcPr>
            <w:tcW w:type="dxa" w:w="1700"/>
            <w:tcMar>
              <w:top w:type="dxa" w:w="80"/>
              <w:left w:type="dxa" w:w="120"/>
              <w:bottom w:type="dxa" w:w="80"/>
              <w:right w:type="dxa" w:w="120"/>
            </w:tcMar>
          </w:tcPr>
          <w:p>
            <w:pPr>
              <w:spacing w:after="0" w:line="260"/>
            </w:pPr>
            <w:r>
              <w:rPr>
                <w:rFonts w:ascii="Cambria" w:cs="Cambria" w:eastAsia="Cambria" w:hAnsi="Cambria"/>
                <w:sz w:val="20"/>
                <w:szCs w:val="20"/>
              </w:rPr>
              <w:t xml:space="preserve">fascicle</w:t>
            </w:r>
          </w:p>
        </w:tc>
        <w:tc>
          <w:tcPr>
            <w:tcW w:type="dxa" w:w="4500"/>
            <w:tcMar>
              <w:top w:type="dxa" w:w="80"/>
              <w:left w:type="dxa" w:w="120"/>
              <w:bottom w:type="dxa" w:w="80"/>
              <w:right w:type="dxa" w:w="120"/>
            </w:tcMar>
          </w:tcPr>
          <w:p>
            <w:pPr>
              <w:spacing w:after="0" w:line="260"/>
            </w:pPr>
            <w:r>
              <w:rPr>
                <w:rFonts w:ascii="Cambria" w:cs="Cambria" w:eastAsia="Cambria" w:hAnsi="Cambria"/>
                <w:sz w:val="20"/>
                <w:szCs w:val="20"/>
              </w:rPr>
              <w:t xml:space="preserve">Buddhist canon studies, where the Taishō numbering is by </w:t>
            </w:r>
            <w:r>
              <w:rPr>
                <w:rFonts w:ascii="Cambria" w:cs="Cambria" w:eastAsia="Cambria" w:hAnsi="Cambria"/>
                <w:i/>
                <w:iCs/>
                <w:sz w:val="20"/>
                <w:szCs w:val="20"/>
              </w:rPr>
              <w:t xml:space="preserve">juan</w:t>
            </w:r>
            <w:r>
              <w:rPr>
                <w:rFonts w:ascii="Cambria" w:cs="Cambria" w:eastAsia="Cambria" w:hAnsi="Cambria"/>
                <w:sz w:val="20"/>
                <w:szCs w:val="20"/>
              </w:rPr>
              <w:t xml:space="preserve">; also bibliographical description of encyclopaedias (</w:t>
            </w:r>
            <w:r>
              <w:rPr>
                <w:rFonts w:ascii="Cambria" w:cs="Cambria" w:eastAsia="Cambria" w:hAnsi="Cambria"/>
                <w:i/>
                <w:iCs/>
                <w:sz w:val="20"/>
                <w:szCs w:val="20"/>
              </w:rPr>
              <w:t xml:space="preserve">leishu</w:t>
            </w:r>
            <w:r>
              <w:rPr>
                <w:rFonts w:ascii="Cambria" w:cs="Cambria" w:eastAsia="Cambria" w:hAnsi="Cambria"/>
                <w:sz w:val="20"/>
                <w:szCs w:val="20"/>
              </w:rPr>
              <w:t xml:space="preserve"> 類書) and collectanea. Carries no implication of a compositional unit.</w:t>
            </w:r>
          </w:p>
        </w:tc>
        <w:tc>
          <w:tcPr>
            <w:tcW w:type="dxa" w:w="3160"/>
            <w:tcMar>
              <w:top w:type="dxa" w:w="80"/>
              <w:left w:type="dxa" w:w="120"/>
              <w:bottom w:type="dxa" w:w="80"/>
              <w:right w:type="dxa" w:w="120"/>
            </w:tcMar>
          </w:tcPr>
          <w:p>
            <w:pPr>
              <w:spacing w:after="0" w:line="260"/>
            </w:pPr>
            <w:r>
              <w:rPr>
                <w:rFonts w:ascii="Cambria" w:cs="Cambria" w:eastAsia="Cambria" w:hAnsi="Cambria"/>
                <w:sz w:val="20"/>
                <w:szCs w:val="20"/>
              </w:rPr>
              <w:t xml:space="preserve">Lancaster, </w:t>
            </w:r>
            <w:r>
              <w:rPr>
                <w:rFonts w:ascii="Cambria" w:cs="Cambria" w:eastAsia="Cambria" w:hAnsi="Cambria"/>
                <w:i/>
                <w:iCs/>
                <w:sz w:val="20"/>
                <w:szCs w:val="20"/>
              </w:rPr>
              <w:t xml:space="preserve">The Korean Buddhist Canon: A Descriptive Catalogue</w:t>
            </w:r>
            <w:r>
              <w:rPr>
                <w:rFonts w:ascii="Cambria" w:cs="Cambria" w:eastAsia="Cambria" w:hAnsi="Cambria"/>
                <w:sz w:val="20"/>
                <w:szCs w:val="20"/>
              </w:rPr>
              <w:t xml:space="preserve"> (1979); Drège, </w:t>
            </w:r>
            <w:r>
              <w:rPr>
                <w:rFonts w:ascii="Cambria" w:cs="Cambria" w:eastAsia="Cambria" w:hAnsi="Cambria"/>
                <w:i/>
                <w:iCs/>
                <w:sz w:val="20"/>
                <w:szCs w:val="20"/>
              </w:rPr>
              <w:t xml:space="preserve">Les bibliothèques en Chine</w:t>
            </w:r>
            <w:r>
              <w:rPr>
                <w:rFonts w:ascii="Cambria" w:cs="Cambria" w:eastAsia="Cambria" w:hAnsi="Cambria"/>
                <w:sz w:val="20"/>
                <w:szCs w:val="20"/>
              </w:rPr>
              <w:t xml:space="preserve"> (1991), “fascicule”; the </w:t>
            </w:r>
            <w:r>
              <w:rPr>
                <w:rFonts w:ascii="Cambria" w:cs="Cambria" w:eastAsia="Cambria" w:hAnsi="Cambria"/>
                <w:i/>
                <w:iCs/>
                <w:sz w:val="20"/>
                <w:szCs w:val="20"/>
              </w:rPr>
              <w:t xml:space="preserve">Hōbōgirin</w:t>
            </w:r>
            <w:r>
              <w:rPr>
                <w:rFonts w:ascii="Cambria" w:cs="Cambria" w:eastAsia="Cambria" w:hAnsi="Cambria"/>
                <w:sz w:val="20"/>
                <w:szCs w:val="20"/>
              </w:rPr>
              <w:t xml:space="preserve"> fascicle series.</w:t>
            </w:r>
          </w:p>
        </w:tc>
      </w:tr>
      <w:tr>
        <w:trPr>
          <w:tblHeader w:val="false"/>
        </w:trPr>
        <w:tc>
          <w:tcPr>
            <w:tcW w:type="dxa" w:w="1700"/>
            <w:tcMar>
              <w:top w:type="dxa" w:w="80"/>
              <w:left w:type="dxa" w:w="120"/>
              <w:bottom w:type="dxa" w:w="80"/>
              <w:right w:type="dxa" w:w="120"/>
            </w:tcMar>
          </w:tcPr>
          <w:p>
            <w:pPr>
              <w:spacing w:after="0" w:line="260"/>
            </w:pPr>
            <w:r>
              <w:rPr>
                <w:rFonts w:ascii="Cambria" w:cs="Cambria" w:eastAsia="Cambria" w:hAnsi="Cambria"/>
                <w:sz w:val="20"/>
                <w:szCs w:val="20"/>
              </w:rPr>
              <w:t xml:space="preserve">scroll</w:t>
            </w:r>
          </w:p>
        </w:tc>
        <w:tc>
          <w:tcPr>
            <w:tcW w:type="dxa" w:w="4500"/>
            <w:tcMar>
              <w:top w:type="dxa" w:w="80"/>
              <w:left w:type="dxa" w:w="120"/>
              <w:bottom w:type="dxa" w:w="80"/>
              <w:right w:type="dxa" w:w="120"/>
            </w:tcMar>
          </w:tcPr>
          <w:p>
            <w:pPr>
              <w:spacing w:after="0" w:line="260"/>
            </w:pPr>
            <w:r>
              <w:rPr>
                <w:rFonts w:ascii="Cambria" w:cs="Cambria" w:eastAsia="Cambria" w:hAnsi="Cambria"/>
                <w:sz w:val="20"/>
                <w:szCs w:val="20"/>
              </w:rPr>
              <w:t xml:space="preserve">Codicological and early-China contexts, where the roll is literally the object in question; manuscript studies of Dunhuang and the bamboo-and-silk finds.</w:t>
            </w:r>
          </w:p>
        </w:tc>
        <w:tc>
          <w:tcPr>
            <w:tcW w:type="dxa" w:w="3160"/>
            <w:tcMar>
              <w:top w:type="dxa" w:w="80"/>
              <w:left w:type="dxa" w:w="120"/>
              <w:bottom w:type="dxa" w:w="80"/>
              <w:right w:type="dxa" w:w="120"/>
            </w:tcMar>
          </w:tcPr>
          <w:p>
            <w:pPr>
              <w:spacing w:after="0" w:line="260"/>
            </w:pPr>
            <w:r>
              <w:rPr>
                <w:rFonts w:ascii="Cambria" w:cs="Cambria" w:eastAsia="Cambria" w:hAnsi="Cambria"/>
                <w:sz w:val="20"/>
                <w:szCs w:val="20"/>
              </w:rPr>
              <w:t xml:space="preserve">Tsien, </w:t>
            </w:r>
            <w:r>
              <w:rPr>
                <w:rFonts w:ascii="Cambria" w:cs="Cambria" w:eastAsia="Cambria" w:hAnsi="Cambria"/>
                <w:i/>
                <w:iCs/>
                <w:sz w:val="20"/>
                <w:szCs w:val="20"/>
              </w:rPr>
              <w:t xml:space="preserve">Written on Bamboo and Silk</w:t>
            </w:r>
            <w:r>
              <w:rPr>
                <w:rFonts w:ascii="Cambria" w:cs="Cambria" w:eastAsia="Cambria" w:hAnsi="Cambria"/>
                <w:sz w:val="20"/>
                <w:szCs w:val="20"/>
              </w:rPr>
              <w:t xml:space="preserve"> (1962/2004); Giles, </w:t>
            </w:r>
            <w:r>
              <w:rPr>
                <w:rFonts w:ascii="Cambria" w:cs="Cambria" w:eastAsia="Cambria" w:hAnsi="Cambria"/>
                <w:i/>
                <w:iCs/>
                <w:sz w:val="20"/>
                <w:szCs w:val="20"/>
              </w:rPr>
              <w:t xml:space="preserve">Descriptive Catalogue of the Chinese Manuscripts from Tunhuang</w:t>
            </w:r>
            <w:r>
              <w:rPr>
                <w:rFonts w:ascii="Cambria" w:cs="Cambria" w:eastAsia="Cambria" w:hAnsi="Cambria"/>
                <w:sz w:val="20"/>
                <w:szCs w:val="20"/>
              </w:rPr>
              <w:t xml:space="preserve"> (1957).</w:t>
            </w:r>
          </w:p>
        </w:tc>
      </w:tr>
      <w:tr>
        <w:trPr>
          <w:tblHeader w:val="false"/>
        </w:trPr>
        <w:tc>
          <w:tcPr>
            <w:tcW w:type="dxa" w:w="1700"/>
            <w:tcMar>
              <w:top w:type="dxa" w:w="80"/>
              <w:left w:type="dxa" w:w="120"/>
              <w:bottom w:type="dxa" w:w="80"/>
              <w:right w:type="dxa" w:w="120"/>
            </w:tcMar>
          </w:tcPr>
          <w:p>
            <w:pPr>
              <w:spacing w:after="0" w:line="260"/>
            </w:pPr>
            <w:r>
              <w:rPr>
                <w:rFonts w:ascii="Cambria" w:cs="Cambria" w:eastAsia="Cambria" w:hAnsi="Cambria"/>
                <w:i/>
                <w:iCs/>
                <w:sz w:val="20"/>
                <w:szCs w:val="20"/>
              </w:rPr>
              <w:t xml:space="preserve">juan</w:t>
            </w:r>
            <w:r>
              <w:rPr>
                <w:rFonts w:ascii="Cambria" w:cs="Cambria" w:eastAsia="Cambria" w:hAnsi="Cambria"/>
                <w:sz w:val="20"/>
                <w:szCs w:val="20"/>
              </w:rPr>
              <w:t xml:space="preserve"> / </w:t>
            </w:r>
            <w:r>
              <w:rPr>
                <w:rFonts w:ascii="Cambria" w:cs="Cambria" w:eastAsia="Cambria" w:hAnsi="Cambria"/>
                <w:i/>
                <w:iCs/>
                <w:sz w:val="20"/>
                <w:szCs w:val="20"/>
              </w:rPr>
              <w:t xml:space="preserve">chüan</w:t>
            </w:r>
            <w:r>
              <w:rPr>
                <w:rFonts w:ascii="Cambria" w:cs="Cambria" w:eastAsia="Cambria" w:hAnsi="Cambria"/>
                <w:sz w:val="20"/>
                <w:szCs w:val="20"/>
              </w:rPr>
              <w:t xml:space="preserve"> (untranslated)</w:t>
            </w:r>
          </w:p>
        </w:tc>
        <w:tc>
          <w:tcPr>
            <w:tcW w:type="dxa" w:w="4500"/>
            <w:tcMar>
              <w:top w:type="dxa" w:w="80"/>
              <w:left w:type="dxa" w:w="120"/>
              <w:bottom w:type="dxa" w:w="80"/>
              <w:right w:type="dxa" w:w="120"/>
            </w:tcMar>
          </w:tcPr>
          <w:p>
            <w:pPr>
              <w:spacing w:after="0" w:line="260"/>
            </w:pPr>
            <w:r>
              <w:rPr>
                <w:rFonts w:ascii="Cambria" w:cs="Cambria" w:eastAsia="Cambria" w:hAnsi="Cambria"/>
                <w:sz w:val="20"/>
                <w:szCs w:val="20"/>
              </w:rPr>
              <w:t xml:space="preserve">Sinological reference works and critical apparatus, where precision matters more than readability. Older literature in Wade–Giles writes </w:t>
            </w:r>
            <w:r>
              <w:rPr>
                <w:rFonts w:ascii="Cambria" w:cs="Cambria" w:eastAsia="Cambria" w:hAnsi="Cambria"/>
                <w:i/>
                <w:iCs/>
                <w:sz w:val="20"/>
                <w:szCs w:val="20"/>
              </w:rPr>
              <w:t xml:space="preserve">chüan</w:t>
            </w:r>
            <w:r>
              <w:rPr>
                <w:rFonts w:ascii="Cambria" w:cs="Cambria" w:eastAsia="Cambria" w:hAnsi="Cambria"/>
                <w:sz w:val="20"/>
                <w:szCs w:val="20"/>
              </w:rPr>
              <w:t xml:space="preserve">.</w:t>
            </w:r>
          </w:p>
        </w:tc>
        <w:tc>
          <w:tcPr>
            <w:tcW w:type="dxa" w:w="3160"/>
            <w:tcMar>
              <w:top w:type="dxa" w:w="80"/>
              <w:left w:type="dxa" w:w="120"/>
              <w:bottom w:type="dxa" w:w="80"/>
              <w:right w:type="dxa" w:w="120"/>
            </w:tcMar>
          </w:tcPr>
          <w:p>
            <w:pPr>
              <w:spacing w:after="0" w:line="260"/>
            </w:pPr>
            <w:r>
              <w:rPr>
                <w:rFonts w:ascii="Cambria" w:cs="Cambria" w:eastAsia="Cambria" w:hAnsi="Cambria"/>
                <w:sz w:val="20"/>
                <w:szCs w:val="20"/>
              </w:rPr>
              <w:t xml:space="preserve">Wittfogel and Fêng, </w:t>
            </w:r>
            <w:r>
              <w:rPr>
                <w:rFonts w:ascii="Cambria" w:cs="Cambria" w:eastAsia="Cambria" w:hAnsi="Cambria"/>
                <w:i/>
                <w:iCs/>
                <w:sz w:val="20"/>
                <w:szCs w:val="20"/>
              </w:rPr>
              <w:t xml:space="preserve">History of Chinese Society: Liao (907–1125)</w:t>
            </w:r>
            <w:r>
              <w:rPr>
                <w:rFonts w:ascii="Cambria" w:cs="Cambria" w:eastAsia="Cambria" w:hAnsi="Cambria"/>
                <w:sz w:val="20"/>
                <w:szCs w:val="20"/>
              </w:rPr>
              <w:t xml:space="preserve"> (1949), citing “LS 37”; Hucker, </w:t>
            </w:r>
            <w:r>
              <w:rPr>
                <w:rFonts w:ascii="Cambria" w:cs="Cambria" w:eastAsia="Cambria" w:hAnsi="Cambria"/>
                <w:i/>
                <w:iCs/>
                <w:sz w:val="20"/>
                <w:szCs w:val="20"/>
              </w:rPr>
              <w:t xml:space="preserve">A Dictionary of Official Titles in Imperial China</w:t>
            </w:r>
            <w:r>
              <w:rPr>
                <w:rFonts w:ascii="Cambria" w:cs="Cambria" w:eastAsia="Cambria" w:hAnsi="Cambria"/>
                <w:sz w:val="20"/>
                <w:szCs w:val="20"/>
              </w:rPr>
              <w:t xml:space="preserve"> (1985); Loewe, ed., </w:t>
            </w:r>
            <w:r>
              <w:rPr>
                <w:rFonts w:ascii="Cambria" w:cs="Cambria" w:eastAsia="Cambria" w:hAnsi="Cambria"/>
                <w:i/>
                <w:iCs/>
                <w:sz w:val="20"/>
                <w:szCs w:val="20"/>
              </w:rPr>
              <w:t xml:space="preserve">Early Chinese Texts</w:t>
            </w:r>
            <w:r>
              <w:rPr>
                <w:rFonts w:ascii="Cambria" w:cs="Cambria" w:eastAsia="Cambria" w:hAnsi="Cambria"/>
                <w:sz w:val="20"/>
                <w:szCs w:val="20"/>
              </w:rPr>
              <w:t xml:space="preserve"> (1993); Schinköthe (2018), noting that the word is now “often not translated at all”.</w:t>
            </w:r>
          </w:p>
        </w:tc>
      </w:tr>
      <w:tr>
        <w:trPr>
          <w:tblHeader w:val="false"/>
        </w:trPr>
        <w:tc>
          <w:tcPr>
            <w:tcW w:type="dxa" w:w="1700"/>
            <w:tcMar>
              <w:top w:type="dxa" w:w="80"/>
              <w:left w:type="dxa" w:w="120"/>
              <w:bottom w:type="dxa" w:w="80"/>
              <w:right w:type="dxa" w:w="120"/>
            </w:tcMar>
          </w:tcPr>
          <w:p>
            <w:pPr>
              <w:spacing w:after="0" w:line="260"/>
            </w:pPr>
            <w:r>
              <w:rPr>
                <w:rFonts w:ascii="Cambria" w:cs="Cambria" w:eastAsia="Cambria" w:hAnsi="Cambria"/>
                <w:sz w:val="20"/>
                <w:szCs w:val="20"/>
              </w:rPr>
              <w:t xml:space="preserve">volume</w:t>
            </w:r>
          </w:p>
        </w:tc>
        <w:tc>
          <w:tcPr>
            <w:tcW w:type="dxa" w:w="4500"/>
            <w:tcMar>
              <w:top w:type="dxa" w:w="80"/>
              <w:left w:type="dxa" w:w="120"/>
              <w:bottom w:type="dxa" w:w="80"/>
              <w:right w:type="dxa" w:w="120"/>
            </w:tcMar>
          </w:tcPr>
          <w:p>
            <w:pPr>
              <w:spacing w:after="0" w:line="260"/>
            </w:pPr>
            <w:r>
              <w:rPr>
                <w:rFonts w:ascii="Cambria" w:cs="Cambria" w:eastAsia="Cambria" w:hAnsi="Cambria"/>
                <w:sz w:val="20"/>
                <w:szCs w:val="20"/>
              </w:rPr>
              <w:t xml:space="preserve">Bilingual dictionaries and older general writing. Ambiguous against </w:t>
            </w:r>
            <w:r>
              <w:rPr>
                <w:rFonts w:ascii="Cambria" w:cs="Cambria" w:eastAsia="Cambria" w:hAnsi="Cambria"/>
                <w:i/>
                <w:iCs/>
                <w:sz w:val="20"/>
                <w:szCs w:val="20"/>
              </w:rPr>
              <w:t xml:space="preserve">ce</w:t>
            </w:r>
            <w:r>
              <w:rPr>
                <w:rFonts w:ascii="Cambria" w:cs="Cambria" w:eastAsia="Cambria" w:hAnsi="Cambria"/>
                <w:sz w:val="20"/>
                <w:szCs w:val="20"/>
              </w:rPr>
              <w:t xml:space="preserve"> and against the volumes of a modern edition; avoided in current scholarly practice.</w:t>
            </w:r>
          </w:p>
        </w:tc>
        <w:tc>
          <w:tcPr>
            <w:tcW w:type="dxa" w:w="3160"/>
            <w:tcMar>
              <w:top w:type="dxa" w:w="80"/>
              <w:left w:type="dxa" w:w="120"/>
              <w:bottom w:type="dxa" w:w="80"/>
              <w:right w:type="dxa" w:w="120"/>
            </w:tcMar>
          </w:tcPr>
          <w:p>
            <w:pPr>
              <w:spacing w:after="0" w:line="260"/>
            </w:pPr>
            <w:r>
              <w:rPr>
                <w:rFonts w:ascii="Cambria" w:cs="Cambria" w:eastAsia="Cambria" w:hAnsi="Cambria"/>
                <w:sz w:val="20"/>
                <w:szCs w:val="20"/>
              </w:rPr>
              <w:t xml:space="preserve">Mathews, </w:t>
            </w:r>
            <w:r>
              <w:rPr>
                <w:rFonts w:ascii="Cambria" w:cs="Cambria" w:eastAsia="Cambria" w:hAnsi="Cambria"/>
                <w:i/>
                <w:iCs/>
                <w:sz w:val="20"/>
                <w:szCs w:val="20"/>
              </w:rPr>
              <w:t xml:space="preserve">Chinese–English Dictionary</w:t>
            </w:r>
            <w:r>
              <w:rPr>
                <w:rFonts w:ascii="Cambria" w:cs="Cambria" w:eastAsia="Cambria" w:hAnsi="Cambria"/>
                <w:sz w:val="20"/>
                <w:szCs w:val="20"/>
              </w:rPr>
              <w:t xml:space="preserve"> (1931), s.v. 卷; Legge’s prolegomena to the </w:t>
            </w:r>
            <w:r>
              <w:rPr>
                <w:rFonts w:ascii="Cambria" w:cs="Cambria" w:eastAsia="Cambria" w:hAnsi="Cambria"/>
                <w:i/>
                <w:iCs/>
                <w:sz w:val="20"/>
                <w:szCs w:val="20"/>
              </w:rPr>
              <w:t xml:space="preserve">Chinese Classics</w:t>
            </w:r>
            <w:r>
              <w:rPr>
                <w:rFonts w:ascii="Cambria" w:cs="Cambria" w:eastAsia="Cambria" w:hAnsi="Cambria"/>
                <w:sz w:val="20"/>
                <w:szCs w:val="20"/>
              </w:rPr>
              <w:t xml:space="preserve"> (1861–72), passim.</w:t>
            </w:r>
          </w:p>
        </w:tc>
      </w:tr>
    </w:tbl>
    <w:p>
      <w:pPr>
        <w:spacing w:after="160"/>
      </w:pPr>
    </w:p>
    <w:p>
      <w:pPr>
        <w:spacing w:after="160" w:line="300"/>
        <w:jc w:val="both"/>
      </w:pPr>
      <w:r>
        <w:rPr>
          <w:rFonts w:ascii="Cambria" w:cs="Cambria" w:eastAsia="Cambria" w:hAnsi="Cambria"/>
        </w:rPr>
        <w:t xml:space="preserve">Two observations follow. First, “chapter” is not a mistranslation but a contextual one: it is correct for the Standard Histories because their compilers made it so, and it would be incorrect for a text such as the </w:t>
      </w:r>
      <w:r>
        <w:rPr>
          <w:rFonts w:ascii="Cambria" w:cs="Cambria" w:eastAsia="Cambria" w:hAnsi="Cambria"/>
          <w:i/>
          <w:iCs/>
        </w:rPr>
        <w:t xml:space="preserve">Yi Zhou shu</w:t>
      </w:r>
      <w:r>
        <w:rPr>
          <w:rFonts w:ascii="Cambria" w:cs="Cambria" w:eastAsia="Cambria" w:hAnsi="Cambria"/>
        </w:rPr>
        <w:t xml:space="preserve"> or for a Buddhist sūtra divided into </w:t>
      </w:r>
      <w:r>
        <w:rPr>
          <w:rFonts w:ascii="Cambria" w:cs="Cambria" w:eastAsia="Cambria" w:hAnsi="Cambria"/>
          <w:i/>
          <w:iCs/>
        </w:rPr>
        <w:t xml:space="preserve">juan</w:t>
      </w:r>
      <w:r>
        <w:rPr>
          <w:rFonts w:ascii="Cambria" w:cs="Cambria" w:eastAsia="Cambria" w:hAnsi="Cambria"/>
        </w:rPr>
        <w:t xml:space="preserve"> of arbitrary length. Second, the untranslated form is the only rendering that cannot mislead, which is why it prevails in the apparatus of the works that this project most closely depends upon, above all Wittfogel and Fêng, whose citations of the </w:t>
      </w:r>
      <w:r>
        <w:rPr>
          <w:rFonts w:ascii="Cambria" w:cs="Cambria" w:eastAsia="Cambria" w:hAnsi="Cambria"/>
          <w:i/>
          <w:iCs/>
        </w:rPr>
        <w:t xml:space="preserve">Liaoshi</w:t>
      </w:r>
      <w:r>
        <w:rPr>
          <w:rFonts w:ascii="Cambria" w:cs="Cambria" w:eastAsia="Cambria" w:hAnsi="Cambria"/>
        </w:rPr>
        <w:t xml:space="preserve"> by </w:t>
      </w:r>
      <w:r>
        <w:rPr>
          <w:rFonts w:ascii="Cambria" w:cs="Cambria" w:eastAsia="Cambria" w:hAnsi="Cambria"/>
          <w:i/>
          <w:iCs/>
        </w:rPr>
        <w:t xml:space="preserve">chüan</w:t>
      </w:r>
      <w:r>
        <w:rPr>
          <w:rFonts w:ascii="Cambria" w:cs="Cambria" w:eastAsia="Cambria" w:hAnsi="Cambria"/>
        </w:rPr>
        <w:t xml:space="preserve"> and folio are the reference frame against which the corpus translations are being verified.</w:t>
      </w:r>
      <w:r>
        <w:rPr>
          <w:rStyle w:val="FootnoteReference"/>
        </w:rPr>
        <w:footnoteReference w:id="9"/>
      </w:r>
    </w:p>
    <w:p>
      <w:pPr>
        <w:pStyle w:val="Heading1"/>
        <w:spacing w:after="160" w:before="360"/>
      </w:pPr>
      <w:r>
        <w:t xml:space="preserve">6. Convention adopted</w:t>
      </w:r>
    </w:p>
    <w:p>
      <w:pPr>
        <w:spacing w:after="160" w:line="300"/>
        <w:jc w:val="both"/>
      </w:pPr>
      <w:r>
        <w:rPr>
          <w:rFonts w:ascii="Cambria" w:cs="Cambria" w:eastAsia="Cambria" w:hAnsi="Cambria"/>
        </w:rPr>
        <w:t xml:space="preserve">In the database schema the field is named juan and holds the consecutive number of the Zhonghua edition. In prose documentation the word is written in italics and lower case, </w:t>
      </w:r>
      <w:r>
        <w:rPr>
          <w:rFonts w:ascii="Cambria" w:cs="Cambria" w:eastAsia="Cambria" w:hAnsi="Cambria"/>
          <w:i/>
          <w:iCs/>
        </w:rPr>
        <w:t xml:space="preserve">juan</w:t>
      </w:r>
      <w:r>
        <w:rPr>
          <w:rFonts w:ascii="Cambria" w:cs="Cambria" w:eastAsia="Cambria" w:hAnsi="Cambria"/>
        </w:rPr>
        <w:t xml:space="preserve">, invariable in the plural. The first occurrence in any document intended for non-specialists is glossed “chapter (</w:t>
      </w:r>
      <w:r>
        <w:rPr>
          <w:rFonts w:ascii="Cambria" w:cs="Cambria" w:eastAsia="Cambria" w:hAnsi="Cambria"/>
          <w:i/>
          <w:iCs/>
        </w:rPr>
        <w:t xml:space="preserve">juan</w:t>
      </w:r>
      <w:r>
        <w:rPr>
          <w:rFonts w:ascii="Cambria" w:cs="Cambria" w:eastAsia="Cambria" w:hAnsi="Cambria"/>
        </w:rPr>
        <w:t xml:space="preserve"> 卷)”. Citations take the form of the history code followed by the </w:t>
      </w:r>
      <w:r>
        <w:rPr>
          <w:rFonts w:ascii="Cambria" w:cs="Cambria" w:eastAsia="Cambria" w:hAnsi="Cambria"/>
          <w:i/>
          <w:iCs/>
        </w:rPr>
        <w:t xml:space="preserve">juan</w:t>
      </w:r>
      <w:r>
        <w:rPr>
          <w:rFonts w:ascii="Cambria" w:cs="Cambria" w:eastAsia="Cambria" w:hAnsi="Cambria"/>
        </w:rPr>
        <w:t xml:space="preserve"> number, LS 37, XW 72, with no intervening word. The term “volume” is reserved for the </w:t>
      </w:r>
      <w:r>
        <w:rPr>
          <w:rFonts w:ascii="Cambria" w:cs="Cambria" w:eastAsia="Cambria" w:hAnsi="Cambria"/>
          <w:i/>
          <w:iCs/>
        </w:rPr>
        <w:t xml:space="preserve">ce</w:t>
      </w:r>
      <w:r>
        <w:rPr>
          <w:rFonts w:ascii="Cambria" w:cs="Cambria" w:eastAsia="Cambria" w:hAnsi="Cambria"/>
        </w:rPr>
        <w:t xml:space="preserve"> of a printed edition and is never applied to a </w:t>
      </w:r>
      <w:r>
        <w:rPr>
          <w:rFonts w:ascii="Cambria" w:cs="Cambria" w:eastAsia="Cambria" w:hAnsi="Cambria"/>
          <w:i/>
          <w:iCs/>
        </w:rPr>
        <w:t xml:space="preserve">juan</w:t>
      </w:r>
      <w:r>
        <w:rPr>
          <w:rFonts w:ascii="Cambria" w:cs="Cambria" w:eastAsia="Cambria" w:hAnsi="Cambria"/>
        </w:rPr>
        <w:t xml:space="preserve">; “fascicle” and “scroll” are not used.</w:t>
      </w:r>
    </w:p>
    <w:p>
      <w:pPr>
        <w:pStyle w:val="Heading1"/>
        <w:spacing w:after="160" w:before="360"/>
      </w:pPr>
      <w:r>
        <w:t xml:space="preserve">References</w:t>
      </w:r>
    </w:p>
    <w:p>
      <w:pPr>
        <w:spacing w:after="100" w:line="260"/>
        <w:ind w:left="567" w:hanging="567"/>
      </w:pPr>
      <w:r>
        <w:rPr>
          <w:rFonts w:ascii="Cambria" w:cs="Cambria" w:eastAsia="Cambria" w:hAnsi="Cambria"/>
          <w:sz w:val="20"/>
          <w:szCs w:val="20"/>
        </w:rPr>
        <w:t xml:space="preserve">Drège, Jean-Pierre. </w:t>
      </w:r>
      <w:r>
        <w:rPr>
          <w:rFonts w:ascii="Cambria" w:cs="Cambria" w:eastAsia="Cambria" w:hAnsi="Cambria"/>
          <w:i/>
          <w:iCs/>
          <w:sz w:val="20"/>
          <w:szCs w:val="20"/>
        </w:rPr>
        <w:t xml:space="preserve">Les bibliothèques en Chine au temps des manuscrits (jusqu’au Xe siècle)</w:t>
      </w:r>
      <w:r>
        <w:rPr>
          <w:rFonts w:ascii="Cambria" w:cs="Cambria" w:eastAsia="Cambria" w:hAnsi="Cambria"/>
          <w:sz w:val="20"/>
          <w:szCs w:val="20"/>
        </w:rPr>
        <w:t xml:space="preserve">. Publications de l’École française d’Extrême-Orient 161. Paris: EFEO, 1991.</w:t>
      </w:r>
    </w:p>
    <w:p>
      <w:pPr>
        <w:spacing w:after="100" w:line="260"/>
        <w:ind w:left="567" w:hanging="567"/>
      </w:pPr>
      <w:r>
        <w:rPr>
          <w:rFonts w:ascii="Cambria" w:cs="Cambria" w:eastAsia="Cambria" w:hAnsi="Cambria"/>
          <w:sz w:val="20"/>
          <w:szCs w:val="20"/>
        </w:rPr>
        <w:t xml:space="preserve">Hulsewé, A. F. P. “Han shu 漢書.” In Loewe, ed., </w:t>
      </w:r>
      <w:r>
        <w:rPr>
          <w:rFonts w:ascii="Cambria" w:cs="Cambria" w:eastAsia="Cambria" w:hAnsi="Cambria"/>
          <w:i/>
          <w:iCs/>
          <w:sz w:val="20"/>
          <w:szCs w:val="20"/>
        </w:rPr>
        <w:t xml:space="preserve">Early Chinese Texts</w:t>
      </w:r>
      <w:r>
        <w:rPr>
          <w:rFonts w:ascii="Cambria" w:cs="Cambria" w:eastAsia="Cambria" w:hAnsi="Cambria"/>
          <w:sz w:val="20"/>
          <w:szCs w:val="20"/>
        </w:rPr>
        <w:t xml:space="preserve">, 129–136.</w:t>
      </w:r>
    </w:p>
    <w:p>
      <w:pPr>
        <w:spacing w:after="100" w:line="260"/>
        <w:ind w:left="567" w:hanging="567"/>
      </w:pPr>
      <w:r>
        <w:rPr>
          <w:rFonts w:ascii="Cambria" w:cs="Cambria" w:eastAsia="Cambria" w:hAnsi="Cambria"/>
          <w:sz w:val="20"/>
          <w:szCs w:val="20"/>
        </w:rPr>
        <w:t xml:space="preserve">Hulsewé, A. F. P., and M. A. N. Loewe. </w:t>
      </w:r>
      <w:r>
        <w:rPr>
          <w:rFonts w:ascii="Cambria" w:cs="Cambria" w:eastAsia="Cambria" w:hAnsi="Cambria"/>
          <w:i/>
          <w:iCs/>
          <w:sz w:val="20"/>
          <w:szCs w:val="20"/>
        </w:rPr>
        <w:t xml:space="preserve">China in Central Asia: The Early Stage, 125 B.C.–A.D. 23. An Annotated Translation of Chapters 61 and 96 of the History of the Former Han Dynasty</w:t>
      </w:r>
      <w:r>
        <w:rPr>
          <w:rFonts w:ascii="Cambria" w:cs="Cambria" w:eastAsia="Cambria" w:hAnsi="Cambria"/>
          <w:sz w:val="20"/>
          <w:szCs w:val="20"/>
        </w:rPr>
        <w:t xml:space="preserve">. Sinica Leidensia 14. Leiden: Brill, 1979.</w:t>
      </w:r>
    </w:p>
    <w:p>
      <w:pPr>
        <w:spacing w:after="100" w:line="260"/>
        <w:ind w:left="567" w:hanging="567"/>
      </w:pPr>
      <w:r>
        <w:rPr>
          <w:rFonts w:ascii="Cambria" w:cs="Cambria" w:eastAsia="Cambria" w:hAnsi="Cambria"/>
          <w:sz w:val="20"/>
          <w:szCs w:val="20"/>
        </w:rPr>
        <w:t xml:space="preserve">Li Feng and David Prager Branner, eds. </w:t>
      </w:r>
      <w:r>
        <w:rPr>
          <w:rFonts w:ascii="Cambria" w:cs="Cambria" w:eastAsia="Cambria" w:hAnsi="Cambria"/>
          <w:i/>
          <w:iCs/>
          <w:sz w:val="20"/>
          <w:szCs w:val="20"/>
        </w:rPr>
        <w:t xml:space="preserve">Writing and Literacy in Early China: Studies from the Columbia Early China Seminar</w:t>
      </w:r>
      <w:r>
        <w:rPr>
          <w:rFonts w:ascii="Cambria" w:cs="Cambria" w:eastAsia="Cambria" w:hAnsi="Cambria"/>
          <w:sz w:val="20"/>
          <w:szCs w:val="20"/>
        </w:rPr>
        <w:t xml:space="preserve">. Seattle: University of Washington Press, 2011.</w:t>
      </w:r>
    </w:p>
    <w:p>
      <w:pPr>
        <w:spacing w:after="100" w:line="260"/>
        <w:ind w:left="567" w:hanging="567"/>
      </w:pPr>
      <w:r>
        <w:rPr>
          <w:rFonts w:ascii="Cambria" w:cs="Cambria" w:eastAsia="Cambria" w:hAnsi="Cambria"/>
          <w:sz w:val="20"/>
          <w:szCs w:val="20"/>
        </w:rPr>
        <w:t xml:space="preserve">Loewe, Michael, ed. </w:t>
      </w:r>
      <w:r>
        <w:rPr>
          <w:rFonts w:ascii="Cambria" w:cs="Cambria" w:eastAsia="Cambria" w:hAnsi="Cambria"/>
          <w:i/>
          <w:iCs/>
          <w:sz w:val="20"/>
          <w:szCs w:val="20"/>
        </w:rPr>
        <w:t xml:space="preserve">Early Chinese Texts: A Bibliographical Guide</w:t>
      </w:r>
      <w:r>
        <w:rPr>
          <w:rFonts w:ascii="Cambria" w:cs="Cambria" w:eastAsia="Cambria" w:hAnsi="Cambria"/>
          <w:sz w:val="20"/>
          <w:szCs w:val="20"/>
        </w:rPr>
        <w:t xml:space="preserve">. Early China Special Monograph Series 2. Berkeley: Society for the Study of Early China and Institute of East Asian Studies, 1993. https://archive.org/details/earlychinesetext00loew</w:t>
      </w:r>
    </w:p>
    <w:p>
      <w:pPr>
        <w:spacing w:after="100" w:line="260"/>
        <w:ind w:left="567" w:hanging="567"/>
      </w:pPr>
      <w:r>
        <w:rPr>
          <w:rFonts w:ascii="Cambria" w:cs="Cambria" w:eastAsia="Cambria" w:hAnsi="Cambria"/>
          <w:sz w:val="20"/>
          <w:szCs w:val="20"/>
        </w:rPr>
        <w:t xml:space="preserve">Pulleyblank, Edwin G. </w:t>
      </w:r>
      <w:r>
        <w:rPr>
          <w:rFonts w:ascii="Cambria" w:cs="Cambria" w:eastAsia="Cambria" w:hAnsi="Cambria"/>
          <w:i/>
          <w:iCs/>
          <w:sz w:val="20"/>
          <w:szCs w:val="20"/>
        </w:rPr>
        <w:t xml:space="preserve">Lexicon of Reconstructed Pronunciation in Early Middle Chinese, Late Middle Chinese, and Early Mandarin</w:t>
      </w:r>
      <w:r>
        <w:rPr>
          <w:rFonts w:ascii="Cambria" w:cs="Cambria" w:eastAsia="Cambria" w:hAnsi="Cambria"/>
          <w:sz w:val="20"/>
          <w:szCs w:val="20"/>
        </w:rPr>
        <w:t xml:space="preserve">. Vancouver: UBC Press, 1991.</w:t>
      </w:r>
    </w:p>
    <w:p>
      <w:pPr>
        <w:spacing w:after="100" w:line="260"/>
        <w:ind w:left="567" w:hanging="567"/>
      </w:pPr>
      <w:r>
        <w:rPr>
          <w:rFonts w:ascii="Cambria" w:cs="Cambria" w:eastAsia="Cambria" w:hAnsi="Cambria"/>
          <w:sz w:val="20"/>
          <w:szCs w:val="20"/>
        </w:rPr>
        <w:t xml:space="preserve">Schinköthe, Ailika. </w:t>
      </w:r>
      <w:r>
        <w:rPr>
          <w:rFonts w:ascii="Cambria" w:cs="Cambria" w:eastAsia="Cambria" w:hAnsi="Cambria"/>
          <w:i/>
          <w:iCs/>
          <w:sz w:val="20"/>
          <w:szCs w:val="20"/>
        </w:rPr>
        <w:t xml:space="preserve">Liu Zhiji’s Shitong and Its Revival in the Ming Dynasty</w:t>
      </w:r>
      <w:r>
        <w:rPr>
          <w:rFonts w:ascii="Cambria" w:cs="Cambria" w:eastAsia="Cambria" w:hAnsi="Cambria"/>
          <w:sz w:val="20"/>
          <w:szCs w:val="20"/>
        </w:rPr>
        <w:t xml:space="preserve">. Doctoral dissertation, Eberhard Karls Universität Tübingen, 2018. https://ub01.uni-tuebingen.de/xmlui/handle/10900/80307</w:t>
      </w:r>
    </w:p>
    <w:p>
      <w:pPr>
        <w:spacing w:after="100" w:line="260"/>
        <w:ind w:left="567" w:hanging="567"/>
      </w:pPr>
      <w:r>
        <w:rPr>
          <w:rFonts w:ascii="Cambria" w:cs="Cambria" w:eastAsia="Cambria" w:hAnsi="Cambria"/>
          <w:sz w:val="20"/>
          <w:szCs w:val="20"/>
        </w:rPr>
        <w:t xml:space="preserve">Schuessler, Axel. </w:t>
      </w:r>
      <w:r>
        <w:rPr>
          <w:rFonts w:ascii="Cambria" w:cs="Cambria" w:eastAsia="Cambria" w:hAnsi="Cambria"/>
          <w:i/>
          <w:iCs/>
          <w:sz w:val="20"/>
          <w:szCs w:val="20"/>
        </w:rPr>
        <w:t xml:space="preserve">ABC Etymological Dictionary of Old Chinese</w:t>
      </w:r>
      <w:r>
        <w:rPr>
          <w:rFonts w:ascii="Cambria" w:cs="Cambria" w:eastAsia="Cambria" w:hAnsi="Cambria"/>
          <w:sz w:val="20"/>
          <w:szCs w:val="20"/>
        </w:rPr>
        <w:t xml:space="preserve">. Honolulu: University of Hawai‘i Press, 2007.</w:t>
      </w:r>
    </w:p>
    <w:p>
      <w:pPr>
        <w:spacing w:after="100" w:line="260"/>
        <w:ind w:left="567" w:hanging="567"/>
      </w:pPr>
      <w:r>
        <w:rPr>
          <w:rFonts w:ascii="Cambria" w:cs="Cambria" w:eastAsia="Cambria" w:hAnsi="Cambria"/>
          <w:sz w:val="20"/>
          <w:szCs w:val="20"/>
        </w:rPr>
        <w:t xml:space="preserve">Shaughnessy, Edward L. “I Chou shu 逸周書 (Chou shu).” In Loewe, ed., </w:t>
      </w:r>
      <w:r>
        <w:rPr>
          <w:rFonts w:ascii="Cambria" w:cs="Cambria" w:eastAsia="Cambria" w:hAnsi="Cambria"/>
          <w:i/>
          <w:iCs/>
          <w:sz w:val="20"/>
          <w:szCs w:val="20"/>
        </w:rPr>
        <w:t xml:space="preserve">Early Chinese Texts</w:t>
      </w:r>
      <w:r>
        <w:rPr>
          <w:rFonts w:ascii="Cambria" w:cs="Cambria" w:eastAsia="Cambria" w:hAnsi="Cambria"/>
          <w:sz w:val="20"/>
          <w:szCs w:val="20"/>
        </w:rPr>
        <w:t xml:space="preserve">, 229–232.</w:t>
      </w:r>
    </w:p>
    <w:p>
      <w:pPr>
        <w:spacing w:after="100" w:line="260"/>
        <w:ind w:left="567" w:hanging="567"/>
      </w:pPr>
      <w:r>
        <w:rPr>
          <w:rFonts w:ascii="Cambria" w:cs="Cambria" w:eastAsia="Cambria" w:hAnsi="Cambria"/>
          <w:sz w:val="20"/>
          <w:szCs w:val="20"/>
        </w:rPr>
        <w:t xml:space="preserve">Theobald, Ulrich. “juan 卷, scrolls, chapters or fascicles.” </w:t>
      </w:r>
      <w:r>
        <w:rPr>
          <w:rFonts w:ascii="Cambria" w:cs="Cambria" w:eastAsia="Cambria" w:hAnsi="Cambria"/>
          <w:i/>
          <w:iCs/>
          <w:sz w:val="20"/>
          <w:szCs w:val="20"/>
        </w:rPr>
        <w:t xml:space="preserve">ChinaKnowledge.de: An Encyclopaedia on Chinese History and Literature</w:t>
      </w:r>
      <w:r>
        <w:rPr>
          <w:rFonts w:ascii="Cambria" w:cs="Cambria" w:eastAsia="Cambria" w:hAnsi="Cambria"/>
          <w:sz w:val="20"/>
          <w:szCs w:val="20"/>
        </w:rPr>
        <w:t xml:space="preserve">, 2010. http://www.chinaknowledge.de/Literature/Terms/juan.html</w:t>
      </w:r>
    </w:p>
    <w:p>
      <w:pPr>
        <w:spacing w:after="100" w:line="260"/>
        <w:ind w:left="567" w:hanging="567"/>
      </w:pPr>
      <w:r>
        <w:rPr>
          <w:rFonts w:ascii="Cambria" w:cs="Cambria" w:eastAsia="Cambria" w:hAnsi="Cambria"/>
          <w:sz w:val="20"/>
          <w:szCs w:val="20"/>
        </w:rPr>
        <w:t xml:space="preserve">Tsien, Tsuen-hsuin. </w:t>
      </w:r>
      <w:r>
        <w:rPr>
          <w:rFonts w:ascii="Cambria" w:cs="Cambria" w:eastAsia="Cambria" w:hAnsi="Cambria"/>
          <w:i/>
          <w:iCs/>
          <w:sz w:val="20"/>
          <w:szCs w:val="20"/>
        </w:rPr>
        <w:t xml:space="preserve">Paper and Printing</w:t>
      </w:r>
      <w:r>
        <w:rPr>
          <w:rFonts w:ascii="Cambria" w:cs="Cambria" w:eastAsia="Cambria" w:hAnsi="Cambria"/>
          <w:sz w:val="20"/>
          <w:szCs w:val="20"/>
        </w:rPr>
        <w:t xml:space="preserve">. Science and Civilisation in China, vol. 5 pt. 1. Cambridge: Cambridge University Press, 1985.</w:t>
      </w:r>
    </w:p>
    <w:p>
      <w:pPr>
        <w:spacing w:after="100" w:line="260"/>
        <w:ind w:left="567" w:hanging="567"/>
      </w:pPr>
      <w:r>
        <w:rPr>
          <w:rFonts w:ascii="Cambria" w:cs="Cambria" w:eastAsia="Cambria" w:hAnsi="Cambria"/>
          <w:sz w:val="20"/>
          <w:szCs w:val="20"/>
        </w:rPr>
        <w:t xml:space="preserve">Tsien, Tsuen-hsuin. </w:t>
      </w:r>
      <w:r>
        <w:rPr>
          <w:rFonts w:ascii="Cambria" w:cs="Cambria" w:eastAsia="Cambria" w:hAnsi="Cambria"/>
          <w:i/>
          <w:iCs/>
          <w:sz w:val="20"/>
          <w:szCs w:val="20"/>
        </w:rPr>
        <w:t xml:space="preserve">Written on Bamboo and Silk: The Beginnings of Chinese Books and Inscriptions</w:t>
      </w:r>
      <w:r>
        <w:rPr>
          <w:rFonts w:ascii="Cambria" w:cs="Cambria" w:eastAsia="Cambria" w:hAnsi="Cambria"/>
          <w:sz w:val="20"/>
          <w:szCs w:val="20"/>
        </w:rPr>
        <w:t xml:space="preserve">. 2nd ed., with an afterword by Edward L. Shaughnessy. Chicago: University of Chicago Press, 2004. Reviewed by Lothar von Falkenhausen, </w:t>
      </w:r>
      <w:r>
        <w:rPr>
          <w:rFonts w:ascii="Cambria" w:cs="Cambria" w:eastAsia="Cambria" w:hAnsi="Cambria"/>
          <w:i/>
          <w:iCs/>
          <w:sz w:val="20"/>
          <w:szCs w:val="20"/>
        </w:rPr>
        <w:t xml:space="preserve">Technology and Culture</w:t>
      </w:r>
      <w:r>
        <w:rPr>
          <w:rFonts w:ascii="Cambria" w:cs="Cambria" w:eastAsia="Cambria" w:hAnsi="Cambria"/>
          <w:sz w:val="20"/>
          <w:szCs w:val="20"/>
        </w:rPr>
        <w:t xml:space="preserve"> 46.2 (2005): 410–411. https://muse.jhu.edu/pub/1/article/184316/pdf</w:t>
      </w:r>
    </w:p>
    <w:p>
      <w:pPr>
        <w:spacing w:after="100" w:line="260"/>
        <w:ind w:left="567" w:hanging="567"/>
      </w:pPr>
      <w:r>
        <w:rPr>
          <w:rFonts w:ascii="Cambria" w:cs="Cambria" w:eastAsia="Cambria" w:hAnsi="Cambria"/>
          <w:sz w:val="20"/>
          <w:szCs w:val="20"/>
        </w:rPr>
        <w:t xml:space="preserve">Tuotuo 脫脫 et al., comps. </w:t>
      </w:r>
      <w:r>
        <w:rPr>
          <w:rFonts w:ascii="Cambria" w:cs="Cambria" w:eastAsia="Cambria" w:hAnsi="Cambria"/>
          <w:i/>
          <w:iCs/>
          <w:sz w:val="20"/>
          <w:szCs w:val="20"/>
        </w:rPr>
        <w:t xml:space="preserve">Liaoshi</w:t>
      </w:r>
      <w:r>
        <w:rPr>
          <w:rFonts w:ascii="Cambria" w:cs="Cambria" w:eastAsia="Cambria" w:hAnsi="Cambria"/>
          <w:sz w:val="20"/>
          <w:szCs w:val="20"/>
        </w:rPr>
        <w:t xml:space="preserve"> 遼史. Punctuated edition, 5 vols. Beijing: Zhonghua shuju, 1974.</w:t>
      </w:r>
    </w:p>
    <w:p>
      <w:pPr>
        <w:spacing w:after="100" w:line="260"/>
        <w:ind w:left="567" w:hanging="567"/>
      </w:pPr>
      <w:r>
        <w:rPr>
          <w:rFonts w:ascii="Cambria" w:cs="Cambria" w:eastAsia="Cambria" w:hAnsi="Cambria"/>
          <w:sz w:val="20"/>
          <w:szCs w:val="20"/>
        </w:rPr>
        <w:t xml:space="preserve">Twitchett, Denis. </w:t>
      </w:r>
      <w:r>
        <w:rPr>
          <w:rFonts w:ascii="Cambria" w:cs="Cambria" w:eastAsia="Cambria" w:hAnsi="Cambria"/>
          <w:i/>
          <w:iCs/>
          <w:sz w:val="20"/>
          <w:szCs w:val="20"/>
        </w:rPr>
        <w:t xml:space="preserve">The Writing of Official History under the T’ang</w:t>
      </w:r>
      <w:r>
        <w:rPr>
          <w:rFonts w:ascii="Cambria" w:cs="Cambria" w:eastAsia="Cambria" w:hAnsi="Cambria"/>
          <w:sz w:val="20"/>
          <w:szCs w:val="20"/>
        </w:rPr>
        <w:t xml:space="preserve">. Cambridge Studies in Chinese History, Literature and Institutions. Cambridge: Cambridge University Press, 1992. https://doi.org/10.1017/CBO9780511572678</w:t>
      </w:r>
    </w:p>
    <w:p>
      <w:pPr>
        <w:spacing w:after="100" w:line="260"/>
        <w:ind w:left="567" w:hanging="567"/>
      </w:pPr>
      <w:r>
        <w:rPr>
          <w:rFonts w:ascii="Cambria" w:cs="Cambria" w:eastAsia="Cambria" w:hAnsi="Cambria"/>
          <w:sz w:val="20"/>
          <w:szCs w:val="20"/>
        </w:rPr>
        <w:t xml:space="preserve">Wilkinson, Endymion. </w:t>
      </w:r>
      <w:r>
        <w:rPr>
          <w:rFonts w:ascii="Cambria" w:cs="Cambria" w:eastAsia="Cambria" w:hAnsi="Cambria"/>
          <w:i/>
          <w:iCs/>
          <w:sz w:val="20"/>
          <w:szCs w:val="20"/>
        </w:rPr>
        <w:t xml:space="preserve">Chinese History: A New Manual</w:t>
      </w:r>
      <w:r>
        <w:rPr>
          <w:rFonts w:ascii="Cambria" w:cs="Cambria" w:eastAsia="Cambria" w:hAnsi="Cambria"/>
          <w:sz w:val="20"/>
          <w:szCs w:val="20"/>
        </w:rPr>
        <w:t xml:space="preserve">. Enlarged 6th ed., 2 vols. Harvard-Yenching Institute Monograph Series 128. Cambridge, Mass.: Harvard University Asia Center, 2022. https://fairbank.fas.harvard.edu/?p=28509</w:t>
      </w:r>
    </w:p>
    <w:p>
      <w:pPr>
        <w:spacing w:after="100" w:line="260"/>
        <w:ind w:left="567" w:hanging="567"/>
      </w:pPr>
      <w:r>
        <w:rPr>
          <w:rFonts w:ascii="Cambria" w:cs="Cambria" w:eastAsia="Cambria" w:hAnsi="Cambria"/>
          <w:sz w:val="20"/>
          <w:szCs w:val="20"/>
        </w:rPr>
        <w:t xml:space="preserve">Wittfogel, Karl A., and Fêng Chia-shêng. </w:t>
      </w:r>
      <w:r>
        <w:rPr>
          <w:rFonts w:ascii="Cambria" w:cs="Cambria" w:eastAsia="Cambria" w:hAnsi="Cambria"/>
          <w:i/>
          <w:iCs/>
          <w:sz w:val="20"/>
          <w:szCs w:val="20"/>
        </w:rPr>
        <w:t xml:space="preserve">History of Chinese Society: Liao (907–1125)</w:t>
      </w:r>
      <w:r>
        <w:rPr>
          <w:rFonts w:ascii="Cambria" w:cs="Cambria" w:eastAsia="Cambria" w:hAnsi="Cambria"/>
          <w:sz w:val="20"/>
          <w:szCs w:val="20"/>
        </w:rPr>
        <w:t xml:space="preserve">. Transactions of the American Philosophical Society, n.s. 36. Philadelphia: American Philosophical Society, 1949.</w:t>
      </w:r>
    </w:p>
    <w:p>
      <w:pPr>
        <w:spacing w:after="100" w:line="260"/>
        <w:ind w:left="567" w:hanging="567"/>
      </w:pPr>
      <w:r>
        <w:rPr>
          <w:rFonts w:ascii="Cambria" w:cs="Cambria" w:eastAsia="Cambria" w:hAnsi="Cambria"/>
          <w:sz w:val="20"/>
          <w:szCs w:val="20"/>
        </w:rPr>
        <w:t xml:space="preserve">Yu Jiaxi 余嘉錫. </w:t>
      </w:r>
      <w:r>
        <w:rPr>
          <w:rFonts w:ascii="Cambria" w:cs="Cambria" w:eastAsia="Cambria" w:hAnsi="Cambria"/>
          <w:i/>
          <w:iCs/>
          <w:sz w:val="20"/>
          <w:szCs w:val="20"/>
        </w:rPr>
        <w:t xml:space="preserve">Gushu tongli</w:t>
      </w:r>
      <w:r>
        <w:rPr>
          <w:rFonts w:ascii="Cambria" w:cs="Cambria" w:eastAsia="Cambria" w:hAnsi="Cambria"/>
          <w:sz w:val="20"/>
          <w:szCs w:val="20"/>
        </w:rPr>
        <w:t xml:space="preserve"> 古書通例. Shanghai: Shanghai guji chubanshe, 1985.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pPr>
      <w:r>
        <w:rPr>
          <w:rStyle w:val="FootnoteReference"/>
        </w:rPr>
        <w:footnoteRef/>
      </w:r>
      <w:r>
        <w:rPr>
          <w:rFonts w:ascii="Cambria" w:cs="Cambria" w:eastAsia="Cambria" w:hAnsi="Cambria"/>
        </w:rPr>
        <w:t xml:space="preserve">On the tone-derivation pair see Edwin G. Pulleyblank, </w:t>
      </w:r>
      <w:r>
        <w:rPr>
          <w:rFonts w:ascii="Cambria" w:cs="Cambria" w:eastAsia="Cambria" w:hAnsi="Cambria"/>
          <w:i/>
          <w:iCs/>
        </w:rPr>
        <w:t xml:space="preserve">Lexicon of Reconstructed Pronunciation in Early Middle Chinese, Late Middle Chinese, and Early Mandarin</w:t>
      </w:r>
      <w:r>
        <w:rPr>
          <w:rFonts w:ascii="Cambria" w:cs="Cambria" w:eastAsia="Cambria" w:hAnsi="Cambria"/>
        </w:rPr>
        <w:t xml:space="preserve"> (Vancouver: UBC Press, 1991), s.v. 卷; and Axel Schuessler, </w:t>
      </w:r>
      <w:r>
        <w:rPr>
          <w:rFonts w:ascii="Cambria" w:cs="Cambria" w:eastAsia="Cambria" w:hAnsi="Cambria"/>
          <w:i/>
          <w:iCs/>
        </w:rPr>
        <w:t xml:space="preserve">ABC Etymological Dictionary of Old Chinese</w:t>
      </w:r>
      <w:r>
        <w:rPr>
          <w:rFonts w:ascii="Cambria" w:cs="Cambria" w:eastAsia="Cambria" w:hAnsi="Cambria"/>
        </w:rPr>
        <w:t xml:space="preserve"> (Honolulu: University of Hawai‘i Press, 2007), s.v. </w:t>
      </w:r>
      <w:r>
        <w:rPr>
          <w:rFonts w:ascii="Cambria" w:cs="Cambria" w:eastAsia="Cambria" w:hAnsi="Cambria"/>
          <w:i/>
          <w:iCs/>
        </w:rPr>
        <w:t xml:space="preserve">juǎn</w:t>
      </w:r>
      <w:r>
        <w:rPr>
          <w:rFonts w:ascii="Cambria" w:cs="Cambria" w:eastAsia="Cambria" w:hAnsi="Cambria"/>
        </w:rPr>
        <w:t xml:space="preserve">.</w:t>
      </w:r>
    </w:p>
  </w:footnote>
  <w:footnote w:id="2">
    <w:p>
      <w:pPr>
        <w:spacing w:after="60"/>
      </w:pPr>
      <w:r>
        <w:rPr>
          <w:rStyle w:val="FootnoteReference"/>
        </w:rPr>
        <w:footnoteRef/>
      </w:r>
      <w:r>
        <w:rPr>
          <w:rFonts w:ascii="Cambria" w:cs="Cambria" w:eastAsia="Cambria" w:hAnsi="Cambria"/>
        </w:rPr>
        <w:t xml:space="preserve">Xu Shen 許慎, </w:t>
      </w:r>
      <w:r>
        <w:rPr>
          <w:rFonts w:ascii="Cambria" w:cs="Cambria" w:eastAsia="Cambria" w:hAnsi="Cambria"/>
          <w:i/>
          <w:iCs/>
        </w:rPr>
        <w:t xml:space="preserve">Shuowen jiezi</w:t>
      </w:r>
      <w:r>
        <w:rPr>
          <w:rFonts w:ascii="Cambria" w:cs="Cambria" w:eastAsia="Cambria" w:hAnsi="Cambria"/>
        </w:rPr>
        <w:t xml:space="preserve"> 說文解字 (121 CE), s.v. 卷: 膝曲也 “the bending of the knee”, the graph being classed under 卩 with the upper element as phonetic. Duan Yucai 段玉裁, </w:t>
      </w:r>
      <w:r>
        <w:rPr>
          <w:rFonts w:ascii="Cambria" w:cs="Cambria" w:eastAsia="Cambria" w:hAnsi="Cambria"/>
          <w:i/>
          <w:iCs/>
        </w:rPr>
        <w:t xml:space="preserve">Shuowen jiezi zhu</w:t>
      </w:r>
      <w:r>
        <w:rPr>
          <w:rFonts w:ascii="Cambria" w:cs="Cambria" w:eastAsia="Cambria" w:hAnsi="Cambria"/>
        </w:rPr>
        <w:t xml:space="preserve"> 說文解字注 (1815), ad loc., already notes the extension to the roll of a book.</w:t>
      </w:r>
    </w:p>
  </w:footnote>
  <w:footnote w:id="3">
    <w:p>
      <w:pPr>
        <w:spacing w:after="60"/>
      </w:pPr>
      <w:r>
        <w:rPr>
          <w:rStyle w:val="FootnoteReference"/>
        </w:rPr>
        <w:footnoteRef/>
      </w:r>
      <w:r>
        <w:rPr>
          <w:rFonts w:ascii="Cambria" w:cs="Cambria" w:eastAsia="Cambria" w:hAnsi="Cambria"/>
        </w:rPr>
        <w:t xml:space="preserve">Tsuen-hsuin Tsien 錢存訓, </w:t>
      </w:r>
      <w:r>
        <w:rPr>
          <w:rFonts w:ascii="Cambria" w:cs="Cambria" w:eastAsia="Cambria" w:hAnsi="Cambria"/>
          <w:i/>
          <w:iCs/>
        </w:rPr>
        <w:t xml:space="preserve">Written on Bamboo and Silk: The Beginnings of Chinese Books and Inscriptions</w:t>
      </w:r>
      <w:r>
        <w:rPr>
          <w:rFonts w:ascii="Cambria" w:cs="Cambria" w:eastAsia="Cambria" w:hAnsi="Cambria"/>
        </w:rPr>
        <w:t xml:space="preserve">, 2nd ed. with an afterword by Edward L. Shaughnessy (Chicago: University of Chicago Press, 2004), chs. 5–6; first ed. 1962. Chinese edition: </w:t>
      </w:r>
      <w:r>
        <w:rPr>
          <w:rFonts w:ascii="Cambria" w:cs="Cambria" w:eastAsia="Cambria" w:hAnsi="Cambria"/>
          <w:i/>
          <w:iCs/>
        </w:rPr>
        <w:t xml:space="preserve">Shu yu zhubo</w:t>
      </w:r>
      <w:r>
        <w:rPr>
          <w:rFonts w:ascii="Cambria" w:cs="Cambria" w:eastAsia="Cambria" w:hAnsi="Cambria"/>
        </w:rPr>
        <w:t xml:space="preserve"> 書於竹帛, 4th rev. ed. (Shanghai: Shanghai shudian, 2002).</w:t>
      </w:r>
    </w:p>
  </w:footnote>
  <w:footnote w:id="4">
    <w:p>
      <w:pPr>
        <w:spacing w:after="60"/>
      </w:pPr>
      <w:r>
        <w:rPr>
          <w:rStyle w:val="FootnoteReference"/>
        </w:rPr>
        <w:footnoteRef/>
      </w:r>
      <w:r>
        <w:rPr>
          <w:rFonts w:ascii="Cambria" w:cs="Cambria" w:eastAsia="Cambria" w:hAnsi="Cambria"/>
        </w:rPr>
        <w:t xml:space="preserve">Tsuen-hsuin Tsien, </w:t>
      </w:r>
      <w:r>
        <w:rPr>
          <w:rFonts w:ascii="Cambria" w:cs="Cambria" w:eastAsia="Cambria" w:hAnsi="Cambria"/>
          <w:i/>
          <w:iCs/>
        </w:rPr>
        <w:t xml:space="preserve">Paper and Printing</w:t>
      </w:r>
      <w:r>
        <w:rPr>
          <w:rFonts w:ascii="Cambria" w:cs="Cambria" w:eastAsia="Cambria" w:hAnsi="Cambria"/>
        </w:rPr>
        <w:t xml:space="preserve">, vol. 5 part 1 of Joseph Needham, ed., </w:t>
      </w:r>
      <w:r>
        <w:rPr>
          <w:rFonts w:ascii="Cambria" w:cs="Cambria" w:eastAsia="Cambria" w:hAnsi="Cambria"/>
          <w:i/>
          <w:iCs/>
        </w:rPr>
        <w:t xml:space="preserve">Science and Civilisation in China</w:t>
      </w:r>
      <w:r>
        <w:rPr>
          <w:rFonts w:ascii="Cambria" w:cs="Cambria" w:eastAsia="Cambria" w:hAnsi="Cambria"/>
        </w:rPr>
        <w:t xml:space="preserve"> (Cambridge: Cambridge University Press, 1985), pp. 227–233; Jean-Pierre Drège, </w:t>
      </w:r>
      <w:r>
        <w:rPr>
          <w:rFonts w:ascii="Cambria" w:cs="Cambria" w:eastAsia="Cambria" w:hAnsi="Cambria"/>
          <w:i/>
          <w:iCs/>
        </w:rPr>
        <w:t xml:space="preserve">Les bibliothèques en Chine au temps des manuscrits (jusqu’au Xe siècle)</w:t>
      </w:r>
      <w:r>
        <w:rPr>
          <w:rFonts w:ascii="Cambria" w:cs="Cambria" w:eastAsia="Cambria" w:hAnsi="Cambria"/>
        </w:rPr>
        <w:t xml:space="preserve"> (Paris: École française d’Extrême-Orient, 1991), ch. 1.</w:t>
      </w:r>
    </w:p>
  </w:footnote>
  <w:footnote w:id="5">
    <w:p>
      <w:pPr>
        <w:spacing w:after="60"/>
      </w:pPr>
      <w:r>
        <w:rPr>
          <w:rStyle w:val="FootnoteReference"/>
        </w:rPr>
        <w:footnoteRef/>
      </w:r>
      <w:r>
        <w:rPr>
          <w:rFonts w:ascii="Cambria" w:cs="Cambria" w:eastAsia="Cambria" w:hAnsi="Cambria"/>
        </w:rPr>
        <w:t xml:space="preserve">A. F. P. Hulsewé, “Han shu 漢書,” in Michael Loewe, ed., </w:t>
      </w:r>
      <w:r>
        <w:rPr>
          <w:rFonts w:ascii="Cambria" w:cs="Cambria" w:eastAsia="Cambria" w:hAnsi="Cambria"/>
          <w:i/>
          <w:iCs/>
        </w:rPr>
        <w:t xml:space="preserve">Early Chinese Texts: A Bibliographical Guide</w:t>
      </w:r>
      <w:r>
        <w:rPr>
          <w:rFonts w:ascii="Cambria" w:cs="Cambria" w:eastAsia="Cambria" w:hAnsi="Cambria"/>
        </w:rPr>
        <w:t xml:space="preserve"> (Berkeley: Society for the Study of Early China and Institute of East Asian Studies, 1993), pp. 129–136, at 130; the treatise is </w:t>
      </w:r>
      <w:r>
        <w:rPr>
          <w:rFonts w:ascii="Cambria" w:cs="Cambria" w:eastAsia="Cambria" w:hAnsi="Cambria"/>
          <w:i/>
          <w:iCs/>
        </w:rPr>
        <w:t xml:space="preserve">Hanshu</w:t>
      </w:r>
      <w:r>
        <w:rPr>
          <w:rFonts w:ascii="Cambria" w:cs="Cambria" w:eastAsia="Cambria" w:hAnsi="Cambria"/>
        </w:rPr>
        <w:t xml:space="preserve"> 30, “Yiwen zhi” 藝文志. Yu Jiaxi 余嘉錫, </w:t>
      </w:r>
      <w:r>
        <w:rPr>
          <w:rFonts w:ascii="Cambria" w:cs="Cambria" w:eastAsia="Cambria" w:hAnsi="Cambria"/>
          <w:i/>
          <w:iCs/>
        </w:rPr>
        <w:t xml:space="preserve">Gushu tongli</w:t>
      </w:r>
      <w:r>
        <w:rPr>
          <w:rFonts w:ascii="Cambria" w:cs="Cambria" w:eastAsia="Cambria" w:hAnsi="Cambria"/>
        </w:rPr>
        <w:t xml:space="preserve"> 古書通例 (Shanghai: Shanghai guji chubanshe, 1985; written 1940s), </w:t>
      </w:r>
      <w:r>
        <w:rPr>
          <w:rFonts w:ascii="Cambria" w:cs="Cambria" w:eastAsia="Cambria" w:hAnsi="Cambria"/>
          <w:i/>
          <w:iCs/>
        </w:rPr>
        <w:t xml:space="preserve">juan</w:t>
      </w:r>
      <w:r>
        <w:rPr>
          <w:rFonts w:ascii="Cambria" w:cs="Cambria" w:eastAsia="Cambria" w:hAnsi="Cambria"/>
        </w:rPr>
        <w:t xml:space="preserve"> 3, remains the classic Chinese treatment of the relation between </w:t>
      </w:r>
      <w:r>
        <w:rPr>
          <w:rFonts w:ascii="Cambria" w:cs="Cambria" w:eastAsia="Cambria" w:hAnsi="Cambria"/>
          <w:i/>
          <w:iCs/>
        </w:rPr>
        <w:t xml:space="preserve">pian</w:t>
      </w:r>
      <w:r>
        <w:rPr>
          <w:rFonts w:ascii="Cambria" w:cs="Cambria" w:eastAsia="Cambria" w:hAnsi="Cambria"/>
        </w:rPr>
        <w:t xml:space="preserve"> and </w:t>
      </w:r>
      <w:r>
        <w:rPr>
          <w:rFonts w:ascii="Cambria" w:cs="Cambria" w:eastAsia="Cambria" w:hAnsi="Cambria"/>
          <w:i/>
          <w:iCs/>
        </w:rPr>
        <w:t xml:space="preserve">juan</w:t>
      </w:r>
      <w:r>
        <w:rPr>
          <w:rFonts w:ascii="Cambria" w:cs="Cambria" w:eastAsia="Cambria" w:hAnsi="Cambria"/>
        </w:rPr>
        <w:t xml:space="preserve">.</w:t>
      </w:r>
    </w:p>
  </w:footnote>
  <w:footnote w:id="6">
    <w:p>
      <w:pPr>
        <w:spacing w:after="60"/>
      </w:pPr>
      <w:r>
        <w:rPr>
          <w:rStyle w:val="FootnoteReference"/>
        </w:rPr>
        <w:footnoteRef/>
      </w:r>
      <w:r>
        <w:rPr>
          <w:rFonts w:ascii="Cambria" w:cs="Cambria" w:eastAsia="Cambria" w:hAnsi="Cambria"/>
        </w:rPr>
        <w:t xml:space="preserve">Li Feng and David Prager Branner, eds., </w:t>
      </w:r>
      <w:r>
        <w:rPr>
          <w:rFonts w:ascii="Cambria" w:cs="Cambria" w:eastAsia="Cambria" w:hAnsi="Cambria"/>
          <w:i/>
          <w:iCs/>
        </w:rPr>
        <w:t xml:space="preserve">Writing and Literacy in Early China: Studies from the Columbia Early China Seminar</w:t>
      </w:r>
      <w:r>
        <w:rPr>
          <w:rFonts w:ascii="Cambria" w:cs="Cambria" w:eastAsia="Cambria" w:hAnsi="Cambria"/>
        </w:rPr>
        <w:t xml:space="preserve"> (Seattle: University of Washington Press, 2011), p. 217.</w:t>
      </w:r>
    </w:p>
  </w:footnote>
  <w:footnote w:id="7">
    <w:p>
      <w:pPr>
        <w:spacing w:after="60"/>
      </w:pPr>
      <w:r>
        <w:rPr>
          <w:rStyle w:val="FootnoteReference"/>
        </w:rPr>
        <w:footnoteRef/>
      </w:r>
      <w:r>
        <w:rPr>
          <w:rFonts w:ascii="Cambria" w:cs="Cambria" w:eastAsia="Cambria" w:hAnsi="Cambria"/>
        </w:rPr>
        <w:t xml:space="preserve">Edward L. Shaughnessy, “I Chou shu 逸周書 (Chou shu),” in Loewe, ed., </w:t>
      </w:r>
      <w:r>
        <w:rPr>
          <w:rFonts w:ascii="Cambria" w:cs="Cambria" w:eastAsia="Cambria" w:hAnsi="Cambria"/>
          <w:i/>
          <w:iCs/>
        </w:rPr>
        <w:t xml:space="preserve">Early Chinese Texts</w:t>
      </w:r>
      <w:r>
        <w:rPr>
          <w:rFonts w:ascii="Cambria" w:cs="Cambria" w:eastAsia="Cambria" w:hAnsi="Cambria"/>
        </w:rPr>
        <w:t xml:space="preserve">, pp. 229–232, at 229–231.</w:t>
      </w:r>
    </w:p>
  </w:footnote>
  <w:footnote w:id="8">
    <w:p>
      <w:pPr>
        <w:spacing w:after="60"/>
      </w:pPr>
      <w:r>
        <w:rPr>
          <w:rStyle w:val="FootnoteReference"/>
        </w:rPr>
        <w:footnoteRef/>
      </w:r>
      <w:r>
        <w:rPr>
          <w:rFonts w:ascii="Cambria" w:cs="Cambria" w:eastAsia="Cambria" w:hAnsi="Cambria"/>
          <w:i/>
          <w:iCs/>
        </w:rPr>
        <w:t xml:space="preserve">Liaoshi</w:t>
      </w:r>
      <w:r>
        <w:rPr>
          <w:rFonts w:ascii="Cambria" w:cs="Cambria" w:eastAsia="Cambria" w:hAnsi="Cambria"/>
        </w:rPr>
        <w:t xml:space="preserve"> 遼史, comp. Tuotuo 脫脫 et al. (1344), punctuated ed., 5 vols. (Beijing: Zhonghua shuju, 1974). On the history of the Chinese book and the terminology of its parts see Endymion Wilkinson, </w:t>
      </w:r>
      <w:r>
        <w:rPr>
          <w:rFonts w:ascii="Cambria" w:cs="Cambria" w:eastAsia="Cambria" w:hAnsi="Cambria"/>
          <w:i/>
          <w:iCs/>
        </w:rPr>
        <w:t xml:space="preserve">Chinese History: A New Manual</w:t>
      </w:r>
      <w:r>
        <w:rPr>
          <w:rFonts w:ascii="Cambria" w:cs="Cambria" w:eastAsia="Cambria" w:hAnsi="Cambria"/>
        </w:rPr>
        <w:t xml:space="preserve">, enlarged 6th ed., 2 vols. (Cambridge, Mass.: Harvard University Asia Center, 2022), Book XV.</w:t>
      </w:r>
    </w:p>
  </w:footnote>
  <w:footnote w:id="9">
    <w:p>
      <w:pPr>
        <w:spacing w:after="60"/>
      </w:pPr>
      <w:r>
        <w:rPr>
          <w:rStyle w:val="FootnoteReference"/>
        </w:rPr>
        <w:footnoteRef/>
      </w:r>
      <w:r>
        <w:rPr>
          <w:rFonts w:ascii="Cambria" w:cs="Cambria" w:eastAsia="Cambria" w:hAnsi="Cambria"/>
        </w:rPr>
        <w:t xml:space="preserve">Karl A. Wittfogel and Fêng Chia-shêng, </w:t>
      </w:r>
      <w:r>
        <w:rPr>
          <w:rFonts w:ascii="Cambria" w:cs="Cambria" w:eastAsia="Cambria" w:hAnsi="Cambria"/>
          <w:i/>
          <w:iCs/>
        </w:rPr>
        <w:t xml:space="preserve">History of Chinese Society: Liao (907–1125)</w:t>
      </w:r>
      <w:r>
        <w:rPr>
          <w:rFonts w:ascii="Cambria" w:cs="Cambria" w:eastAsia="Cambria" w:hAnsi="Cambria"/>
        </w:rPr>
        <w:t xml:space="preserve">, Transactions of the American Philosophical Society n.s. 36 (Philadelphia: American Philosophical Society, 1949). The </w:t>
      </w:r>
      <w:r>
        <w:rPr>
          <w:rFonts w:ascii="Cambria" w:cs="Cambria" w:eastAsia="Cambria" w:hAnsi="Cambria"/>
          <w:i/>
          <w:iCs/>
        </w:rPr>
        <w:t xml:space="preserve">Liaoshi</w:t>
      </w:r>
      <w:r>
        <w:rPr>
          <w:rFonts w:ascii="Cambria" w:cs="Cambria" w:eastAsia="Cambria" w:hAnsi="Cambria"/>
        </w:rPr>
        <w:t xml:space="preserve"> is cited throughout as LS followed by </w:t>
      </w:r>
      <w:r>
        <w:rPr>
          <w:rFonts w:ascii="Cambria" w:cs="Cambria" w:eastAsia="Cambria" w:hAnsi="Cambria"/>
          <w:i/>
          <w:iCs/>
        </w:rPr>
        <w:t xml:space="preserve">chüan</w:t>
      </w:r>
      <w:r>
        <w:rPr>
          <w:rFonts w:ascii="Cambria" w:cs="Cambria" w:eastAsia="Cambria" w:hAnsi="Cambria"/>
        </w:rPr>
        <w:t xml:space="preserve"> and folio of the Palace edition.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smallCap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Juan 卷: A Philological Note</dc:title>
  <dc:creator>AID (AI and Database), the AID research database of Asian Studies</dc:creator>
  <cp:lastModifiedBy>Un-named</cp:lastModifiedBy>
  <cp:revision>1</cp:revision>
  <dcterms:created xsi:type="dcterms:W3CDTF">2026-10-06T04:37:01.635Z</dcterms:created>
  <dcterms:modified xsi:type="dcterms:W3CDTF">2026-10-06T04:37:01.635Z</dcterms:modified>
</cp:coreProperties>
</file>

<file path=docProps/custom.xml><?xml version="1.0" encoding="utf-8"?>
<Properties xmlns="http://schemas.openxmlformats.org/officeDocument/2006/custom-properties" xmlns:vt="http://schemas.openxmlformats.org/officeDocument/2006/docPropsVTypes"/>
</file>