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68D6E">
      <w:pPr>
        <w:spacing w:before="0" w:after="80" w:line="360" w:lineRule="auto"/>
        <w:jc w:val="center"/>
        <w:rPr>
          <w:rFonts w:ascii="Times New Roman" w:hAnsi="Times New Roman" w:eastAsia="Times New Roman"/>
          <w:b/>
          <w:i w:val="0"/>
          <w:sz w:val="22"/>
          <w:szCs w:val="22"/>
        </w:rPr>
      </w:pPr>
    </w:p>
    <w:p w14:paraId="706126D4">
      <w:pPr>
        <w:spacing w:before="0" w:after="80" w:line="360" w:lineRule="auto"/>
        <w:jc w:val="center"/>
        <w:rPr>
          <w:rFonts w:ascii="Times New Roman" w:hAnsi="Times New Roman" w:eastAsia="Times New Roman"/>
          <w:b/>
          <w:i w:val="0"/>
          <w:sz w:val="28"/>
          <w:szCs w:val="28"/>
        </w:rPr>
      </w:pPr>
    </w:p>
    <w:p w14:paraId="41076A65">
      <w:pPr>
        <w:spacing w:before="0" w:after="80" w:line="360" w:lineRule="auto"/>
        <w:jc w:val="center"/>
        <w:rPr>
          <w:rFonts w:ascii="Times New Roman" w:hAnsi="Times New Roman" w:eastAsia="Times New Roman"/>
          <w:b/>
          <w:bCs/>
          <w:i w:val="0"/>
          <w:iCs/>
          <w:sz w:val="28"/>
          <w:szCs w:val="28"/>
        </w:rPr>
      </w:pPr>
      <w:r>
        <w:rPr>
          <w:rFonts w:ascii="Times New Roman" w:hAnsi="Times New Roman" w:eastAsia="Times New Roman"/>
          <w:b/>
          <w:i w:val="0"/>
          <w:sz w:val="28"/>
          <w:szCs w:val="28"/>
        </w:rPr>
        <w:t>I See You, ICU: Forecasting Unplanned Ward-to-ICU Transfer</w:t>
      </w:r>
    </w:p>
    <w:p w14:paraId="2A48EE71">
      <w:pPr>
        <w:spacing w:before="0" w:after="80" w:line="360" w:lineRule="auto"/>
        <w:jc w:val="center"/>
        <w:rPr>
          <w:b/>
          <w:bCs/>
          <w:i w:val="0"/>
          <w:iCs/>
          <w:sz w:val="28"/>
          <w:szCs w:val="28"/>
        </w:rPr>
      </w:pPr>
      <w:r>
        <w:rPr>
          <w:rFonts w:ascii="Times New Roman" w:hAnsi="Times New Roman" w:eastAsia="Times New Roman"/>
          <w:b/>
          <w:bCs/>
          <w:i w:val="0"/>
          <w:iCs/>
          <w:sz w:val="28"/>
          <w:szCs w:val="28"/>
        </w:rPr>
        <w:t>Milestone: M3 exploratory data analysis and feature set</w:t>
      </w:r>
    </w:p>
    <w:p w14:paraId="38C30548">
      <w:pPr>
        <w:spacing w:before="0" w:after="80" w:line="360" w:lineRule="auto"/>
        <w:jc w:val="center"/>
        <w:rPr>
          <w:sz w:val="24"/>
          <w:szCs w:val="24"/>
        </w:rPr>
      </w:pPr>
      <w:r>
        <w:rPr>
          <w:rFonts w:ascii="Times New Roman" w:hAnsi="Times New Roman" w:eastAsia="Times New Roman"/>
          <w:b w:val="0"/>
          <w:i w:val="0"/>
          <w:sz w:val="24"/>
          <w:szCs w:val="24"/>
        </w:rPr>
        <w:t>IE 7275: Machine Learning and Data Analytics, Fall 2026</w:t>
      </w:r>
    </w:p>
    <w:p w14:paraId="6EB37418">
      <w:pPr>
        <w:pStyle w:val="35"/>
        <w:spacing w:line="360" w:lineRule="auto"/>
        <w:jc w:val="center"/>
        <w:rPr>
          <w:rFonts w:ascii="Times New Roman" w:hAnsi="Times New Roman" w:cs="Times New Roman"/>
          <w:sz w:val="24"/>
          <w:szCs w:val="24"/>
        </w:rPr>
      </w:pPr>
    </w:p>
    <w:p w14:paraId="3BBDABB4">
      <w:pPr>
        <w:pStyle w:val="35"/>
        <w:spacing w:line="360" w:lineRule="auto"/>
        <w:jc w:val="center"/>
        <w:rPr>
          <w:rFonts w:ascii="Times New Roman" w:hAnsi="Times New Roman" w:cs="Times New Roman"/>
          <w:sz w:val="24"/>
          <w:szCs w:val="24"/>
        </w:rPr>
      </w:pPr>
      <w:r>
        <w:rPr>
          <w:rFonts w:ascii="Times New Roman" w:hAnsi="Times New Roman" w:cs="Times New Roman"/>
          <w:sz w:val="24"/>
          <w:szCs w:val="24"/>
        </w:rPr>
        <w:t>Ka Won Cho</w:t>
      </w:r>
    </w:p>
    <w:p w14:paraId="56AF8375">
      <w:pPr>
        <w:pStyle w:val="35"/>
        <w:spacing w:line="360" w:lineRule="auto"/>
        <w:jc w:val="center"/>
        <w:rPr>
          <w:rFonts w:ascii="Times New Roman" w:hAnsi="Times New Roman" w:cs="Times New Roman"/>
          <w:sz w:val="24"/>
          <w:szCs w:val="24"/>
        </w:rPr>
      </w:pPr>
      <w:r>
        <w:rPr>
          <w:rFonts w:ascii="Times New Roman" w:hAnsi="Times New Roman" w:cs="Times New Roman"/>
          <w:sz w:val="24"/>
          <w:szCs w:val="24"/>
        </w:rPr>
        <w:t>Minh Tuong Le</w:t>
      </w:r>
    </w:p>
    <w:p w14:paraId="5B5A7A04">
      <w:pPr>
        <w:pStyle w:val="35"/>
        <w:spacing w:line="360" w:lineRule="auto"/>
        <w:jc w:val="center"/>
        <w:rPr>
          <w:rFonts w:ascii="Times New Roman" w:hAnsi="Times New Roman" w:cs="Times New Roman"/>
          <w:sz w:val="24"/>
          <w:szCs w:val="24"/>
        </w:rPr>
      </w:pPr>
      <w:r>
        <w:rPr>
          <w:rFonts w:ascii="Times New Roman" w:hAnsi="Times New Roman" w:cs="Times New Roman"/>
          <w:sz w:val="24"/>
          <w:szCs w:val="24"/>
        </w:rPr>
        <w:t>Shanti Ram Pokhrel</w:t>
      </w:r>
    </w:p>
    <w:p w14:paraId="1CAC54A9">
      <w:pPr>
        <w:pStyle w:val="35"/>
        <w:spacing w:line="360" w:lineRule="auto"/>
        <w:jc w:val="center"/>
        <w:rPr>
          <w:rStyle w:val="21"/>
          <w:rFonts w:ascii="Times New Roman" w:hAnsi="Times New Roman" w:cs="Times New Roman"/>
          <w:sz w:val="24"/>
          <w:szCs w:val="24"/>
        </w:rPr>
      </w:pPr>
      <w:r>
        <w:rPr>
          <w:rStyle w:val="21"/>
          <w:rFonts w:ascii="Times New Roman" w:hAnsi="Times New Roman" w:cs="Times New Roman"/>
          <w:sz w:val="24"/>
          <w:szCs w:val="24"/>
        </w:rPr>
        <w:fldChar w:fldCharType="begin"/>
      </w:r>
      <w:r>
        <w:rPr>
          <w:rStyle w:val="21"/>
          <w:rFonts w:ascii="Times New Roman" w:hAnsi="Times New Roman" w:cs="Times New Roman"/>
          <w:sz w:val="24"/>
          <w:szCs w:val="24"/>
        </w:rPr>
        <w:instrText xml:space="preserve">HYPERLINK "mailto:cho.kawon@northeastern.edu"</w:instrText>
      </w:r>
      <w:r>
        <w:rPr>
          <w:rStyle w:val="21"/>
          <w:rFonts w:ascii="Times New Roman" w:hAnsi="Times New Roman" w:cs="Times New Roman"/>
          <w:sz w:val="24"/>
          <w:szCs w:val="24"/>
        </w:rPr>
        <w:fldChar w:fldCharType="separate"/>
      </w:r>
      <w:r>
        <w:rPr>
          <w:rStyle w:val="21"/>
          <w:rFonts w:ascii="Times New Roman" w:hAnsi="Times New Roman" w:cs="Times New Roman"/>
          <w:sz w:val="24"/>
          <w:szCs w:val="24"/>
        </w:rPr>
        <w:t>cho.kawon@northeastern.edu</w:t>
      </w:r>
      <w:r>
        <w:rPr>
          <w:rStyle w:val="21"/>
          <w:rFonts w:ascii="Times New Roman" w:hAnsi="Times New Roman" w:cs="Times New Roman"/>
          <w:sz w:val="24"/>
          <w:szCs w:val="24"/>
        </w:rPr>
        <w:fldChar w:fldCharType="end"/>
      </w:r>
    </w:p>
    <w:p w14:paraId="2FA7FEE2">
      <w:pPr>
        <w:pStyle w:val="35"/>
        <w:spacing w:line="360" w:lineRule="auto"/>
        <w:jc w:val="center"/>
        <w:rPr>
          <w:rFonts w:ascii="Times New Roman" w:hAnsi="Times New Roman" w:cs="Times New Roman"/>
          <w:color w:val="0000FF"/>
          <w:sz w:val="24"/>
          <w:szCs w:val="24"/>
          <w:u w:val="single"/>
        </w:rPr>
      </w:pPr>
      <w:r>
        <w:rPr>
          <w:rFonts w:ascii="Times New Roman" w:hAnsi="Times New Roman" w:cs="Times New Roman"/>
          <w:color w:val="0000FF"/>
          <w:sz w:val="24"/>
          <w:szCs w:val="24"/>
          <w:u w:val="single"/>
        </w:rPr>
        <w:fldChar w:fldCharType="begin"/>
      </w:r>
      <w:r>
        <w:rPr>
          <w:rFonts w:ascii="Times New Roman" w:hAnsi="Times New Roman" w:cs="Times New Roman"/>
          <w:color w:val="0000FF"/>
          <w:sz w:val="24"/>
          <w:szCs w:val="24"/>
          <w:u w:val="single"/>
        </w:rPr>
        <w:instrText xml:space="preserve">HYPERLINK "mailto:le.tuo@northeastern.edu"</w:instrText>
      </w:r>
      <w:r>
        <w:rPr>
          <w:rFonts w:ascii="Times New Roman" w:hAnsi="Times New Roman" w:cs="Times New Roman"/>
          <w:color w:val="0000FF"/>
          <w:sz w:val="24"/>
          <w:szCs w:val="24"/>
          <w:u w:val="single"/>
        </w:rPr>
        <w:fldChar w:fldCharType="separate"/>
      </w:r>
      <w:r>
        <w:rPr>
          <w:rStyle w:val="21"/>
          <w:rFonts w:ascii="Times New Roman" w:hAnsi="Times New Roman" w:cs="Times New Roman"/>
          <w:sz w:val="24"/>
          <w:szCs w:val="24"/>
        </w:rPr>
        <w:t>le.tuo@northeastern.edu</w:t>
      </w:r>
      <w:r>
        <w:rPr>
          <w:rFonts w:ascii="Times New Roman" w:hAnsi="Times New Roman" w:cs="Times New Roman"/>
          <w:color w:val="0000FF"/>
          <w:sz w:val="24"/>
          <w:szCs w:val="24"/>
          <w:u w:val="single"/>
        </w:rPr>
        <w:fldChar w:fldCharType="end"/>
      </w:r>
    </w:p>
    <w:p w14:paraId="576A9DB3">
      <w:pPr>
        <w:pStyle w:val="35"/>
        <w:spacing w:line="360" w:lineRule="auto"/>
        <w:jc w:val="center"/>
        <w:rPr>
          <w:rStyle w:val="21"/>
          <w:rFonts w:ascii="Times New Roman" w:hAnsi="Times New Roman" w:cs="Times New Roman"/>
          <w:sz w:val="24"/>
          <w:szCs w:val="24"/>
        </w:rPr>
      </w:pPr>
      <w:r>
        <w:rPr>
          <w:rFonts w:ascii="Times New Roman" w:hAnsi="Times New Roman" w:cs="Times New Roman"/>
          <w:color w:val="0000FF"/>
          <w:sz w:val="24"/>
          <w:szCs w:val="24"/>
          <w:u w:val="single"/>
        </w:rPr>
        <w:t>pokhrel.sha@northeastern.edu</w:t>
      </w:r>
    </w:p>
    <w:p w14:paraId="1774BFE9">
      <w:pPr>
        <w:pStyle w:val="35"/>
        <w:spacing w:line="360" w:lineRule="auto"/>
        <w:jc w:val="center"/>
        <w:rPr>
          <w:rFonts w:ascii="Times New Roman" w:hAnsi="Times New Roman" w:cs="Times New Roman"/>
          <w:b/>
          <w:sz w:val="22"/>
          <w:szCs w:val="22"/>
        </w:rPr>
      </w:pPr>
    </w:p>
    <w:p w14:paraId="673A8957">
      <w:pPr>
        <w:pStyle w:val="35"/>
        <w:spacing w:line="360" w:lineRule="auto"/>
        <w:rPr>
          <w:rFonts w:ascii="Times New Roman" w:hAnsi="Times New Roman" w:cs="Times New Roman"/>
          <w:bCs/>
          <w:sz w:val="22"/>
          <w:szCs w:val="22"/>
        </w:rPr>
      </w:pPr>
      <w:r>
        <w:rPr>
          <w:rFonts w:ascii="Times New Roman" w:hAnsi="Times New Roman" w:cs="Times New Roman"/>
          <w:bCs/>
          <w:sz w:val="22"/>
          <w:szCs w:val="22"/>
        </w:rPr>
        <w:t>Percentage of Effort Contributed by Ka Won Cho: 33.3%</w:t>
      </w:r>
    </w:p>
    <w:p w14:paraId="7DC7B3ED">
      <w:pPr>
        <w:pStyle w:val="35"/>
        <w:spacing w:line="360" w:lineRule="auto"/>
        <w:rPr>
          <w:rFonts w:ascii="Times New Roman" w:hAnsi="Times New Roman" w:cs="Times New Roman"/>
          <w:bCs/>
          <w:sz w:val="22"/>
          <w:szCs w:val="22"/>
        </w:rPr>
      </w:pPr>
      <w:r>
        <w:rPr>
          <w:rFonts w:ascii="Times New Roman" w:hAnsi="Times New Roman" w:cs="Times New Roman"/>
          <w:bCs/>
          <w:sz w:val="22"/>
          <w:szCs w:val="22"/>
        </w:rPr>
        <w:t>Percentage of Effort Contributed by Minh Tuong Le: 33.3%</w:t>
      </w:r>
    </w:p>
    <w:p w14:paraId="19264D3B">
      <w:pPr>
        <w:pStyle w:val="35"/>
        <w:spacing w:line="360" w:lineRule="auto"/>
        <w:rPr>
          <w:rFonts w:ascii="Times New Roman" w:hAnsi="Times New Roman" w:cs="Times New Roman"/>
          <w:bCs/>
          <w:sz w:val="22"/>
          <w:szCs w:val="22"/>
        </w:rPr>
      </w:pPr>
      <w:r>
        <w:rPr>
          <w:rFonts w:ascii="Times New Roman" w:hAnsi="Times New Roman" w:cs="Times New Roman"/>
          <w:bCs/>
          <w:sz w:val="22"/>
          <w:szCs w:val="22"/>
        </w:rPr>
        <w:drawing>
          <wp:anchor distT="0" distB="0" distL="114300" distR="114300" simplePos="0" relativeHeight="251659264" behindDoc="1" locked="0" layoutInCell="1" allowOverlap="1">
            <wp:simplePos x="0" y="0"/>
            <wp:positionH relativeFrom="column">
              <wp:posOffset>1726565</wp:posOffset>
            </wp:positionH>
            <wp:positionV relativeFrom="paragraph">
              <wp:posOffset>83185</wp:posOffset>
            </wp:positionV>
            <wp:extent cx="1235075" cy="425450"/>
            <wp:effectExtent l="0" t="0" r="14605" b="1270"/>
            <wp:wrapNone/>
            <wp:docPr id="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pic:cNvPicPr>
                      <a:picLocks noChangeAspect="1"/>
                    </pic:cNvPicPr>
                  </pic:nvPicPr>
                  <pic:blipFill>
                    <a:blip r:embed="rId6"/>
                    <a:stretch>
                      <a:fillRect/>
                    </a:stretch>
                  </pic:blipFill>
                  <pic:spPr>
                    <a:xfrm>
                      <a:off x="0" y="0"/>
                      <a:ext cx="1235075" cy="425450"/>
                    </a:xfrm>
                    <a:prstGeom prst="rect">
                      <a:avLst/>
                    </a:prstGeom>
                    <a:noFill/>
                    <a:ln>
                      <a:noFill/>
                    </a:ln>
                  </pic:spPr>
                </pic:pic>
              </a:graphicData>
            </a:graphic>
          </wp:anchor>
        </w:drawing>
      </w:r>
      <w:r>
        <w:rPr>
          <w:rFonts w:ascii="Times New Roman" w:hAnsi="Times New Roman" w:cs="Times New Roman"/>
          <w:bCs/>
          <w:sz w:val="22"/>
          <w:szCs w:val="22"/>
        </w:rPr>
        <w:t>Percentage of Effort Contributed by Shanti Ram Pokhrel: 33.3%</w:t>
      </w:r>
    </w:p>
    <w:p w14:paraId="67322532">
      <w:pPr>
        <w:pStyle w:val="35"/>
        <w:spacing w:line="360" w:lineRule="auto"/>
        <w:rPr>
          <w:rFonts w:ascii="Times New Roman" w:hAnsi="Times New Roman" w:cs="Times New Roman"/>
          <w:bCs/>
          <w:sz w:val="22"/>
          <w:szCs w:val="22"/>
        </w:rPr>
      </w:pPr>
      <w:r>
        <w:rPr>
          <w:rFonts w:ascii="Times New Roman" w:hAnsi="Times New Roman" w:cs="Times New Roman"/>
          <w:bCs/>
          <w:sz w:val="22"/>
          <w:szCs w:val="22"/>
        </w:rPr>
        <w:drawing>
          <wp:anchor distT="0" distB="0" distL="114300" distR="114300" simplePos="0" relativeHeight="251660288" behindDoc="0" locked="0" layoutInCell="1" allowOverlap="1">
            <wp:simplePos x="0" y="0"/>
            <wp:positionH relativeFrom="column">
              <wp:posOffset>1927860</wp:posOffset>
            </wp:positionH>
            <wp:positionV relativeFrom="paragraph">
              <wp:posOffset>184785</wp:posOffset>
            </wp:positionV>
            <wp:extent cx="658495" cy="333375"/>
            <wp:effectExtent l="0" t="0" r="0" b="1905"/>
            <wp:wrapNone/>
            <wp:docPr id="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4"/>
                    <pic:cNvPicPr>
                      <a:picLocks noChangeAspect="1"/>
                    </pic:cNvPicPr>
                  </pic:nvPicPr>
                  <pic:blipFill>
                    <a:blip r:embed="rId7"/>
                    <a:srcRect l="3358" t="35989" r="19864" b="39856"/>
                    <a:stretch>
                      <a:fillRect/>
                    </a:stretch>
                  </pic:blipFill>
                  <pic:spPr>
                    <a:xfrm>
                      <a:off x="0" y="0"/>
                      <a:ext cx="658495" cy="333375"/>
                    </a:xfrm>
                    <a:prstGeom prst="rect">
                      <a:avLst/>
                    </a:prstGeom>
                    <a:noFill/>
                    <a:ln>
                      <a:noFill/>
                    </a:ln>
                  </pic:spPr>
                </pic:pic>
              </a:graphicData>
            </a:graphic>
          </wp:anchor>
        </w:drawing>
      </w:r>
      <w:r>
        <w:rPr>
          <w:rFonts w:ascii="Times New Roman" w:hAnsi="Times New Roman" w:cs="Times New Roman"/>
          <w:bCs/>
          <w:sz w:val="22"/>
          <w:szCs w:val="22"/>
        </w:rPr>
        <w:t>Signature of Ka Won Cho:____________________</w:t>
      </w:r>
    </w:p>
    <w:p w14:paraId="5BC77070">
      <w:pPr>
        <w:pStyle w:val="35"/>
        <w:spacing w:line="360" w:lineRule="auto"/>
        <w:rPr>
          <w:rFonts w:ascii="Times New Roman" w:hAnsi="Times New Roman" w:cs="Times New Roman"/>
          <w:bCs/>
          <w:sz w:val="22"/>
          <w:szCs w:val="22"/>
        </w:rPr>
      </w:pPr>
      <w:r>
        <w:rPr>
          <w:rFonts w:ascii="Times New Roman" w:hAnsi="Times New Roman" w:cs="Times New Roman"/>
          <w:bCs/>
          <w:sz w:val="22"/>
          <w:szCs w:val="22"/>
        </w:rPr>
        <w:t>Signature of Minh Tuong Le:____________________</w:t>
      </w:r>
    </w:p>
    <w:p w14:paraId="734B902E">
      <w:pPr>
        <w:pStyle w:val="35"/>
        <w:spacing w:line="360" w:lineRule="auto"/>
        <w:rPr>
          <w:rFonts w:ascii="Times New Roman" w:hAnsi="Times New Roman" w:cs="Times New Roman"/>
          <w:bCs/>
          <w:sz w:val="22"/>
          <w:szCs w:val="22"/>
        </w:rPr>
      </w:pPr>
      <w:r>
        <w:rPr>
          <w:rFonts w:ascii="Times New Roman" w:hAnsi="Times New Roman" w:cs="Times New Roman"/>
          <w:bCs/>
          <w:sz w:val="22"/>
          <w:szCs w:val="22"/>
        </w:rPr>
        <w:t>Signature of Shanti Ram Pokhrel</w:t>
      </w:r>
      <w:r>
        <w:rPr>
          <w:rFonts w:ascii="Times New Roman" w:hAnsi="Times New Roman" w:cs="Times New Roman"/>
          <w:bCs/>
          <w:sz w:val="22"/>
          <w:szCs w:val="22"/>
          <w:u w:val="single"/>
        </w:rPr>
        <w:t>: Shanti Ram Pokhrel</w:t>
      </w:r>
    </w:p>
    <w:p w14:paraId="393C8F7F">
      <w:pPr>
        <w:pStyle w:val="35"/>
        <w:spacing w:line="360" w:lineRule="auto"/>
        <w:rPr>
          <w:rFonts w:ascii="Times New Roman" w:hAnsi="Times New Roman" w:cs="Times New Roman"/>
          <w:bCs/>
          <w:sz w:val="22"/>
          <w:szCs w:val="22"/>
        </w:rPr>
      </w:pPr>
      <w:r>
        <w:rPr>
          <w:rFonts w:ascii="Times New Roman" w:hAnsi="Times New Roman" w:cs="Times New Roman"/>
          <w:bCs/>
          <w:sz w:val="22"/>
          <w:szCs w:val="22"/>
        </w:rPr>
        <w:t>Submission Date:</w:t>
      </w:r>
      <w:r>
        <w:rPr>
          <w:rFonts w:ascii="Times New Roman" w:hAnsi="Times New Roman" w:cs="Times New Roman"/>
          <w:bCs/>
          <w:sz w:val="22"/>
          <w:szCs w:val="22"/>
          <w:u w:val="single"/>
        </w:rPr>
        <w:t xml:space="preserve">           2026.10.</w:t>
      </w:r>
      <w:r>
        <w:rPr>
          <w:rFonts w:hint="eastAsia" w:ascii="Times New Roman" w:hAnsi="Times New Roman" w:cs="Times New Roman"/>
          <w:bCs/>
          <w:sz w:val="22"/>
          <w:szCs w:val="22"/>
          <w:u w:val="single"/>
        </w:rPr>
        <w:t>27</w:t>
      </w:r>
      <w:r>
        <w:rPr>
          <w:rFonts w:ascii="Times New Roman" w:hAnsi="Times New Roman" w:cs="Times New Roman"/>
          <w:bCs/>
          <w:sz w:val="22"/>
          <w:szCs w:val="22"/>
          <w:u w:val="single"/>
        </w:rPr>
        <w:t xml:space="preserve">           </w:t>
      </w:r>
      <w:r>
        <w:rPr>
          <w:rFonts w:ascii="Times New Roman" w:hAnsi="Times New Roman" w:cs="Times New Roman"/>
          <w:bCs/>
          <w:color w:val="FFFFFF"/>
          <w:sz w:val="22"/>
          <w:szCs w:val="22"/>
          <w:u w:val="single"/>
        </w:rPr>
        <w:t>.</w:t>
      </w:r>
      <w:r>
        <w:rPr>
          <w:rFonts w:ascii="Times New Roman" w:hAnsi="Times New Roman" w:cs="Times New Roman"/>
          <w:bCs/>
          <w:sz w:val="22"/>
          <w:szCs w:val="22"/>
          <w:u w:val="single"/>
        </w:rPr>
        <w:t xml:space="preserve"> </w:t>
      </w:r>
    </w:p>
    <w:p w14:paraId="1E53A9C6">
      <w:pPr>
        <w:rPr>
          <w:sz w:val="22"/>
          <w:szCs w:val="22"/>
        </w:rPr>
      </w:pPr>
      <w:r>
        <w:rPr>
          <w:sz w:val="22"/>
          <w:szCs w:val="22"/>
        </w:rPr>
        <w:br w:type="page"/>
      </w:r>
    </w:p>
    <w:p w14:paraId="157BFC10">
      <w:pPr>
        <w:spacing w:before="240" w:after="120" w:line="360" w:lineRule="auto"/>
        <w:ind w:firstLine="0"/>
        <w:rPr>
          <w:sz w:val="24"/>
          <w:szCs w:val="24"/>
        </w:rPr>
      </w:pPr>
      <w:r>
        <w:rPr>
          <w:rFonts w:ascii="Times New Roman" w:hAnsi="Times New Roman" w:eastAsia="Times New Roman"/>
          <w:b/>
          <w:i w:val="0"/>
          <w:sz w:val="24"/>
          <w:szCs w:val="24"/>
        </w:rPr>
        <w:t>1. Data Overview</w:t>
      </w:r>
    </w:p>
    <w:p w14:paraId="5C10C918">
      <w:pPr>
        <w:spacing w:before="0" w:after="160" w:line="360" w:lineRule="auto"/>
        <w:ind w:firstLine="720"/>
        <w:rPr>
          <w:sz w:val="22"/>
          <w:szCs w:val="22"/>
        </w:rPr>
      </w:pPr>
      <w:r>
        <w:rPr>
          <w:rFonts w:ascii="Times New Roman" w:hAnsi="Times New Roman" w:eastAsia="Times New Roman"/>
          <w:b w:val="0"/>
          <w:i w:val="0"/>
          <w:sz w:val="22"/>
          <w:szCs w:val="22"/>
        </w:rPr>
        <w:t>This milestone prepares a modeling table for I See You, ICU, a watchlist that scores frequently admitted inpatients for unplanned transfer from a hospital ward to an intensive care unit (ICU) within the next 24 hours and the next 48 hours. A score is produced once each morning at 08:00 for every patient on a medical or surgical ward; the intended user is a bed coordinator who will review the top 10% of scores (Cho et al., proposal M2). The source is MIMIC-IV version 3.1 (Johnson et al., 2024), the hosp and icu modules, downloaded in October 2026 under the PhysioNet Credentialed Health Data License 1.5.0. The files are not in the repository. Access requires a credentialed PhysioNet account and Data Use Agreement.</w:t>
      </w:r>
    </w:p>
    <w:p w14:paraId="09CF0E40">
      <w:pPr>
        <w:spacing w:before="0" w:after="160" w:line="360" w:lineRule="auto"/>
        <w:ind w:firstLine="720"/>
        <w:rPr>
          <w:sz w:val="22"/>
          <w:szCs w:val="22"/>
        </w:rPr>
      </w:pPr>
      <w:r>
        <w:rPr>
          <w:rFonts w:ascii="Times New Roman" w:hAnsi="Times New Roman" w:eastAsia="Times New Roman"/>
          <w:b w:val="0"/>
          <w:i w:val="0"/>
          <w:sz w:val="22"/>
          <w:szCs w:val="22"/>
        </w:rPr>
        <w:t>One modeling row is one ward-day snapshot: the intersection of an admission, a calendar morning, and a care unit that is neither an ICU nor a non-ward location such as the emergency department, psychiatry, obstetrics, or the PACU. The snapshot table has 725,334 rows and 101 columns, of which three identify the patient, admission, and time; two are labels (y_24h, y_48h); and 96 are candidate features. Across all snapshots, 6,517 (0.90%) are followed by an ICU transfer within 24 hours and 11,241 (1.55%) within 48 hours. The labels are not a column in the raw files. They are defined from transfers: the first entry into one of eight true ICUs after the snapshot, provided that entry falls inside the 24-hour or 48-hour window. Admissions that begin in the ICU are excluded, so the event is a ward-to-ICU transfer rather than an ICU stay that was planned at the door.</w:t>
      </w:r>
    </w:p>
    <w:p w14:paraId="1E5B17F3">
      <w:pPr>
        <w:spacing w:before="0" w:after="160" w:line="360" w:lineRule="auto"/>
        <w:ind w:firstLine="720"/>
        <w:rPr>
          <w:sz w:val="22"/>
          <w:szCs w:val="22"/>
        </w:rPr>
      </w:pPr>
      <w:r>
        <w:rPr>
          <w:rFonts w:ascii="Times New Roman" w:hAnsi="Times New Roman" w:eastAsia="Times New Roman"/>
          <w:b w:val="0"/>
          <w:i w:val="0"/>
          <w:sz w:val="22"/>
          <w:szCs w:val="22"/>
        </w:rPr>
        <w:t>Two cohort rules changed after M2. First, a prior discharge now counts as a readmission only if it occurred at least one hour earlier (and within 365 days). Gaps shorter than one hour are treated as administrative bounce-backs of the same stay. Second, psychiatry, obstetrics, the PACU, and nursery units are no longer treated as wards. Psychiatry alone contributed tens of thousands of snapshots with a 0% transfer rate and would have diluted both the class balance and the watchlist population. The resulting cohort is 153,448 unplanned adult readmissions among 55,012 patients, of which 10,108 admissions (6.6%) have a later ward-to-ICU transfer. That is smaller than the M2 sketch of all readmissions, by design: the model is restricted to patients who are on a floor where a morning watchlist is operationally meaningful.</w:t>
      </w:r>
    </w:p>
    <w:p w14:paraId="507E6730">
      <w:pPr>
        <w:spacing w:before="120" w:after="80" w:line="360" w:lineRule="auto"/>
        <w:ind w:firstLine="0"/>
        <w:jc w:val="left"/>
        <w:rPr>
          <w:sz w:val="18"/>
          <w:szCs w:val="18"/>
        </w:rPr>
      </w:pPr>
      <w:r>
        <w:rPr>
          <w:rFonts w:ascii="Times New Roman" w:hAnsi="Times New Roman" w:eastAsia="Times New Roman"/>
          <w:b w:val="0"/>
          <w:i/>
          <w:sz w:val="18"/>
          <w:szCs w:val="18"/>
        </w:rPr>
        <w:t xml:space="preserve">Table 1. Cohort construction from cleaned MIMIC-IV v3.1 admissions. Each row is an admission. </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6192"/>
        <w:gridCol w:w="2160"/>
      </w:tblGrid>
      <w:tr w14:paraId="51748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47D7C9C">
            <w:pPr>
              <w:spacing w:before="0" w:after="0" w:line="276" w:lineRule="auto"/>
              <w:rPr>
                <w:sz w:val="18"/>
                <w:szCs w:val="18"/>
              </w:rPr>
            </w:pPr>
            <w:r>
              <w:rPr>
                <w:rFonts w:ascii="Times New Roman" w:hAnsi="Times New Roman" w:eastAsia="Times New Roman"/>
                <w:b/>
                <w:i w:val="0"/>
                <w:sz w:val="18"/>
                <w:szCs w:val="18"/>
              </w:rPr>
              <w:t>Step</w:t>
            </w:r>
          </w:p>
        </w:tc>
        <w:tc>
          <w:tcPr>
            <w:tcW w:w="6192" w:type="dxa"/>
          </w:tcPr>
          <w:p w14:paraId="537651A7">
            <w:pPr>
              <w:spacing w:before="0" w:after="0" w:line="276" w:lineRule="auto"/>
              <w:rPr>
                <w:sz w:val="18"/>
                <w:szCs w:val="18"/>
              </w:rPr>
            </w:pPr>
            <w:r>
              <w:rPr>
                <w:rFonts w:ascii="Times New Roman" w:hAnsi="Times New Roman" w:eastAsia="Times New Roman"/>
                <w:b/>
                <w:i w:val="0"/>
                <w:sz w:val="18"/>
                <w:szCs w:val="18"/>
              </w:rPr>
              <w:t>Rule</w:t>
            </w:r>
          </w:p>
        </w:tc>
        <w:tc>
          <w:tcPr>
            <w:tcW w:w="2160" w:type="dxa"/>
          </w:tcPr>
          <w:p w14:paraId="6DBE2924">
            <w:pPr>
              <w:spacing w:before="0" w:after="0" w:line="276" w:lineRule="auto"/>
              <w:rPr>
                <w:sz w:val="18"/>
                <w:szCs w:val="18"/>
              </w:rPr>
            </w:pPr>
            <w:r>
              <w:rPr>
                <w:rFonts w:ascii="Times New Roman" w:hAnsi="Times New Roman" w:eastAsia="Times New Roman"/>
                <w:b/>
                <w:i w:val="0"/>
                <w:sz w:val="18"/>
                <w:szCs w:val="18"/>
              </w:rPr>
              <w:t>Admissions remaining</w:t>
            </w:r>
          </w:p>
        </w:tc>
      </w:tr>
      <w:tr w14:paraId="78F9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11658EB">
            <w:pPr>
              <w:spacing w:before="0" w:after="0" w:line="276" w:lineRule="auto"/>
              <w:rPr>
                <w:sz w:val="18"/>
                <w:szCs w:val="18"/>
              </w:rPr>
            </w:pPr>
            <w:r>
              <w:rPr>
                <w:rFonts w:ascii="Times New Roman" w:hAnsi="Times New Roman" w:eastAsia="Times New Roman"/>
                <w:b w:val="0"/>
                <w:i w:val="0"/>
                <w:sz w:val="18"/>
                <w:szCs w:val="18"/>
              </w:rPr>
              <w:t>0</w:t>
            </w:r>
          </w:p>
        </w:tc>
        <w:tc>
          <w:tcPr>
            <w:tcW w:w="6192" w:type="dxa"/>
          </w:tcPr>
          <w:p w14:paraId="5058128D">
            <w:pPr>
              <w:spacing w:before="0" w:after="0" w:line="276" w:lineRule="auto"/>
              <w:rPr>
                <w:sz w:val="18"/>
                <w:szCs w:val="18"/>
              </w:rPr>
            </w:pPr>
            <w:r>
              <w:rPr>
                <w:rFonts w:ascii="Times New Roman" w:hAnsi="Times New Roman" w:eastAsia="Times New Roman"/>
                <w:b w:val="0"/>
                <w:i w:val="0"/>
                <w:sz w:val="18"/>
                <w:szCs w:val="18"/>
              </w:rPr>
              <w:t>Valid admissions (discharge after admit)</w:t>
            </w:r>
          </w:p>
        </w:tc>
        <w:tc>
          <w:tcPr>
            <w:tcW w:w="2160" w:type="dxa"/>
          </w:tcPr>
          <w:p w14:paraId="31BA4883">
            <w:pPr>
              <w:spacing w:before="0" w:after="0" w:line="276" w:lineRule="auto"/>
              <w:rPr>
                <w:sz w:val="18"/>
                <w:szCs w:val="18"/>
              </w:rPr>
            </w:pPr>
            <w:r>
              <w:rPr>
                <w:rFonts w:ascii="Times New Roman" w:hAnsi="Times New Roman" w:eastAsia="Times New Roman"/>
                <w:b w:val="0"/>
                <w:i w:val="0"/>
                <w:sz w:val="18"/>
                <w:szCs w:val="18"/>
              </w:rPr>
              <w:t>545,848</w:t>
            </w:r>
          </w:p>
        </w:tc>
      </w:tr>
      <w:tr w14:paraId="4A06A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1561F5AF">
            <w:pPr>
              <w:spacing w:before="0" w:after="0" w:line="276" w:lineRule="auto"/>
              <w:rPr>
                <w:sz w:val="18"/>
                <w:szCs w:val="18"/>
              </w:rPr>
            </w:pPr>
            <w:r>
              <w:rPr>
                <w:rFonts w:ascii="Times New Roman" w:hAnsi="Times New Roman" w:eastAsia="Times New Roman"/>
                <w:b w:val="0"/>
                <w:i w:val="0"/>
                <w:sz w:val="18"/>
                <w:szCs w:val="18"/>
              </w:rPr>
              <w:t>1</w:t>
            </w:r>
          </w:p>
        </w:tc>
        <w:tc>
          <w:tcPr>
            <w:tcW w:w="6192" w:type="dxa"/>
          </w:tcPr>
          <w:p w14:paraId="12B2380D">
            <w:pPr>
              <w:spacing w:before="0" w:after="0" w:line="276" w:lineRule="auto"/>
              <w:rPr>
                <w:sz w:val="18"/>
                <w:szCs w:val="18"/>
              </w:rPr>
            </w:pPr>
            <w:r>
              <w:rPr>
                <w:rFonts w:ascii="Times New Roman" w:hAnsi="Times New Roman" w:eastAsia="Times New Roman"/>
                <w:b w:val="0"/>
                <w:i w:val="0"/>
                <w:sz w:val="18"/>
                <w:szCs w:val="18"/>
              </w:rPr>
              <w:t>Prior discharge in [1 hour, 365 days]</w:t>
            </w:r>
          </w:p>
        </w:tc>
        <w:tc>
          <w:tcPr>
            <w:tcW w:w="2160" w:type="dxa"/>
          </w:tcPr>
          <w:p w14:paraId="71C65C5A">
            <w:pPr>
              <w:spacing w:before="0" w:after="0" w:line="276" w:lineRule="auto"/>
              <w:rPr>
                <w:sz w:val="18"/>
                <w:szCs w:val="18"/>
              </w:rPr>
            </w:pPr>
            <w:r>
              <w:rPr>
                <w:rFonts w:ascii="Times New Roman" w:hAnsi="Times New Roman" w:eastAsia="Times New Roman"/>
                <w:b w:val="0"/>
                <w:i w:val="0"/>
                <w:sz w:val="18"/>
                <w:szCs w:val="18"/>
              </w:rPr>
              <w:t>227,193</w:t>
            </w:r>
          </w:p>
        </w:tc>
      </w:tr>
      <w:tr w14:paraId="6614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0804C4CC">
            <w:pPr>
              <w:spacing w:before="0" w:after="0" w:line="276" w:lineRule="auto"/>
              <w:rPr>
                <w:sz w:val="18"/>
                <w:szCs w:val="18"/>
              </w:rPr>
            </w:pPr>
            <w:r>
              <w:rPr>
                <w:rFonts w:ascii="Times New Roman" w:hAnsi="Times New Roman" w:eastAsia="Times New Roman"/>
                <w:b w:val="0"/>
                <w:i w:val="0"/>
                <w:sz w:val="18"/>
                <w:szCs w:val="18"/>
              </w:rPr>
              <w:t>2</w:t>
            </w:r>
          </w:p>
        </w:tc>
        <w:tc>
          <w:tcPr>
            <w:tcW w:w="6192" w:type="dxa"/>
          </w:tcPr>
          <w:p w14:paraId="6322324B">
            <w:pPr>
              <w:spacing w:before="0" w:after="0" w:line="276" w:lineRule="auto"/>
              <w:rPr>
                <w:sz w:val="18"/>
                <w:szCs w:val="18"/>
              </w:rPr>
            </w:pPr>
            <w:r>
              <w:rPr>
                <w:rFonts w:ascii="Times New Roman" w:hAnsi="Times New Roman" w:eastAsia="Times New Roman"/>
                <w:b w:val="0"/>
                <w:i w:val="0"/>
                <w:sz w:val="18"/>
                <w:szCs w:val="18"/>
              </w:rPr>
              <w:t>Not ELECTIVE or SURGICAL SAME DAY ADMISSION</w:t>
            </w:r>
          </w:p>
        </w:tc>
        <w:tc>
          <w:tcPr>
            <w:tcW w:w="2160" w:type="dxa"/>
          </w:tcPr>
          <w:p w14:paraId="5956E2C1">
            <w:pPr>
              <w:spacing w:before="0" w:after="0" w:line="276" w:lineRule="auto"/>
              <w:rPr>
                <w:sz w:val="18"/>
                <w:szCs w:val="18"/>
              </w:rPr>
            </w:pPr>
            <w:r>
              <w:rPr>
                <w:rFonts w:ascii="Times New Roman" w:hAnsi="Times New Roman" w:eastAsia="Times New Roman"/>
                <w:b w:val="0"/>
                <w:i w:val="0"/>
                <w:sz w:val="18"/>
                <w:szCs w:val="18"/>
              </w:rPr>
              <w:t>205,352</w:t>
            </w:r>
          </w:p>
        </w:tc>
      </w:tr>
      <w:tr w14:paraId="70BDE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BEA3E5A">
            <w:pPr>
              <w:spacing w:before="0" w:after="0" w:line="276" w:lineRule="auto"/>
              <w:rPr>
                <w:sz w:val="18"/>
                <w:szCs w:val="18"/>
              </w:rPr>
            </w:pPr>
            <w:r>
              <w:rPr>
                <w:rFonts w:ascii="Times New Roman" w:hAnsi="Times New Roman" w:eastAsia="Times New Roman"/>
                <w:b w:val="0"/>
                <w:i w:val="0"/>
                <w:sz w:val="18"/>
                <w:szCs w:val="18"/>
              </w:rPr>
              <w:t>3</w:t>
            </w:r>
          </w:p>
        </w:tc>
        <w:tc>
          <w:tcPr>
            <w:tcW w:w="6192" w:type="dxa"/>
          </w:tcPr>
          <w:p w14:paraId="2B2488AE">
            <w:pPr>
              <w:spacing w:before="0" w:after="0" w:line="276" w:lineRule="auto"/>
              <w:rPr>
                <w:sz w:val="18"/>
                <w:szCs w:val="18"/>
              </w:rPr>
            </w:pPr>
            <w:r>
              <w:rPr>
                <w:rFonts w:ascii="Times New Roman" w:hAnsi="Times New Roman" w:eastAsia="Times New Roman"/>
                <w:b w:val="0"/>
                <w:i w:val="0"/>
                <w:sz w:val="18"/>
                <w:szCs w:val="18"/>
              </w:rPr>
              <w:t>Age ≥ 18 years</w:t>
            </w:r>
          </w:p>
        </w:tc>
        <w:tc>
          <w:tcPr>
            <w:tcW w:w="2160" w:type="dxa"/>
          </w:tcPr>
          <w:p w14:paraId="6F0599EF">
            <w:pPr>
              <w:spacing w:before="0" w:after="0" w:line="276" w:lineRule="auto"/>
              <w:rPr>
                <w:sz w:val="18"/>
                <w:szCs w:val="18"/>
              </w:rPr>
            </w:pPr>
            <w:r>
              <w:rPr>
                <w:rFonts w:ascii="Times New Roman" w:hAnsi="Times New Roman" w:eastAsia="Times New Roman"/>
                <w:b w:val="0"/>
                <w:i w:val="0"/>
                <w:sz w:val="18"/>
                <w:szCs w:val="18"/>
              </w:rPr>
              <w:t>205,352</w:t>
            </w:r>
          </w:p>
        </w:tc>
      </w:tr>
      <w:tr w14:paraId="37B9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6FA9781A">
            <w:pPr>
              <w:spacing w:before="0" w:after="0" w:line="276" w:lineRule="auto"/>
              <w:rPr>
                <w:sz w:val="18"/>
                <w:szCs w:val="18"/>
              </w:rPr>
            </w:pPr>
            <w:r>
              <w:rPr>
                <w:rFonts w:ascii="Times New Roman" w:hAnsi="Times New Roman" w:eastAsia="Times New Roman"/>
                <w:b w:val="0"/>
                <w:i w:val="0"/>
                <w:sz w:val="18"/>
                <w:szCs w:val="18"/>
              </w:rPr>
              <w:t>4</w:t>
            </w:r>
          </w:p>
        </w:tc>
        <w:tc>
          <w:tcPr>
            <w:tcW w:w="6192" w:type="dxa"/>
          </w:tcPr>
          <w:p w14:paraId="2A61C2D4">
            <w:pPr>
              <w:spacing w:before="0" w:after="0" w:line="276" w:lineRule="auto"/>
              <w:rPr>
                <w:sz w:val="18"/>
                <w:szCs w:val="18"/>
              </w:rPr>
            </w:pPr>
            <w:r>
              <w:rPr>
                <w:rFonts w:ascii="Times New Roman" w:hAnsi="Times New Roman" w:eastAsia="Times New Roman"/>
                <w:b w:val="0"/>
                <w:i w:val="0"/>
                <w:sz w:val="18"/>
                <w:szCs w:val="18"/>
              </w:rPr>
              <w:t>At least one medical/surgical ward stay</w:t>
            </w:r>
          </w:p>
        </w:tc>
        <w:tc>
          <w:tcPr>
            <w:tcW w:w="2160" w:type="dxa"/>
          </w:tcPr>
          <w:p w14:paraId="607AF965">
            <w:pPr>
              <w:spacing w:before="0" w:after="0" w:line="276" w:lineRule="auto"/>
              <w:rPr>
                <w:sz w:val="18"/>
                <w:szCs w:val="18"/>
              </w:rPr>
            </w:pPr>
            <w:r>
              <w:rPr>
                <w:rFonts w:ascii="Times New Roman" w:hAnsi="Times New Roman" w:eastAsia="Times New Roman"/>
                <w:b w:val="0"/>
                <w:i w:val="0"/>
                <w:sz w:val="18"/>
                <w:szCs w:val="18"/>
              </w:rPr>
              <w:t>167,789</w:t>
            </w:r>
          </w:p>
        </w:tc>
      </w:tr>
      <w:tr w14:paraId="63B9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417CF5E">
            <w:pPr>
              <w:spacing w:before="0" w:after="0" w:line="276" w:lineRule="auto"/>
              <w:rPr>
                <w:sz w:val="18"/>
                <w:szCs w:val="18"/>
              </w:rPr>
            </w:pPr>
            <w:r>
              <w:rPr>
                <w:rFonts w:ascii="Times New Roman" w:hAnsi="Times New Roman" w:eastAsia="Times New Roman"/>
                <w:b w:val="0"/>
                <w:i w:val="0"/>
                <w:sz w:val="18"/>
                <w:szCs w:val="18"/>
              </w:rPr>
              <w:t>5</w:t>
            </w:r>
          </w:p>
        </w:tc>
        <w:tc>
          <w:tcPr>
            <w:tcW w:w="6192" w:type="dxa"/>
          </w:tcPr>
          <w:p w14:paraId="3206B861">
            <w:pPr>
              <w:spacing w:before="0" w:after="0" w:line="276" w:lineRule="auto"/>
              <w:rPr>
                <w:sz w:val="18"/>
                <w:szCs w:val="18"/>
              </w:rPr>
            </w:pPr>
            <w:r>
              <w:rPr>
                <w:rFonts w:ascii="Times New Roman" w:hAnsi="Times New Roman" w:eastAsia="Times New Roman"/>
                <w:b w:val="0"/>
                <w:i w:val="0"/>
                <w:sz w:val="18"/>
                <w:szCs w:val="18"/>
              </w:rPr>
              <w:t>Not admitted straight to the ICU</w:t>
            </w:r>
          </w:p>
        </w:tc>
        <w:tc>
          <w:tcPr>
            <w:tcW w:w="2160" w:type="dxa"/>
          </w:tcPr>
          <w:p w14:paraId="362A96D9">
            <w:pPr>
              <w:spacing w:before="0" w:after="0" w:line="276" w:lineRule="auto"/>
              <w:rPr>
                <w:sz w:val="18"/>
                <w:szCs w:val="18"/>
              </w:rPr>
            </w:pPr>
            <w:r>
              <w:rPr>
                <w:rFonts w:ascii="Times New Roman" w:hAnsi="Times New Roman" w:eastAsia="Times New Roman"/>
                <w:b w:val="0"/>
                <w:i w:val="0"/>
                <w:sz w:val="18"/>
                <w:szCs w:val="18"/>
              </w:rPr>
              <w:t>153,448</w:t>
            </w:r>
          </w:p>
        </w:tc>
      </w:tr>
    </w:tbl>
    <w:p w14:paraId="4B9B5067">
      <w:pPr>
        <w:spacing w:before="240" w:after="120" w:line="360" w:lineRule="auto"/>
        <w:ind w:firstLine="0"/>
        <w:rPr>
          <w:sz w:val="24"/>
          <w:szCs w:val="24"/>
        </w:rPr>
      </w:pPr>
      <w:r>
        <w:rPr>
          <w:rFonts w:ascii="Times New Roman" w:hAnsi="Times New Roman" w:eastAsia="Times New Roman"/>
          <w:b/>
          <w:i w:val="0"/>
          <w:sz w:val="24"/>
          <w:szCs w:val="24"/>
        </w:rPr>
        <w:t>2. Data Cleaning and Preparation</w:t>
      </w:r>
    </w:p>
    <w:p w14:paraId="20BC366A">
      <w:pPr>
        <w:spacing w:before="0" w:after="160" w:line="360" w:lineRule="auto"/>
        <w:ind w:firstLine="720"/>
        <w:rPr>
          <w:rFonts w:ascii="Times New Roman" w:hAnsi="Times New Roman" w:eastAsia="Times New Roman"/>
          <w:b w:val="0"/>
          <w:i w:val="0"/>
          <w:sz w:val="22"/>
          <w:szCs w:val="22"/>
        </w:rPr>
      </w:pPr>
      <w:r>
        <w:rPr>
          <w:rFonts w:ascii="Times New Roman" w:hAnsi="Times New Roman" w:eastAsia="Times New Roman"/>
          <w:b w:val="0"/>
          <w:i w:val="0"/>
          <w:sz w:val="22"/>
          <w:szCs w:val="22"/>
        </w:rPr>
        <w:t>Raw files in data/raw/ are never modified. python -m icu_forecast.clean writes parquet tables to data/processed/ and a machine-readable cleaning_report.json. Counts below come from that report.</w:t>
      </w:r>
    </w:p>
    <w:tbl>
      <w:tblPr>
        <w:tblStyle w:val="12"/>
        <w:tblW w:w="0" w:type="auto"/>
        <w:tblCellSpacing w:w="15" w:type="dxa"/>
        <w:tblInd w:w="8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Layout w:type="fixed"/>
        <w:tblCellMar>
          <w:top w:w="15" w:type="dxa"/>
          <w:left w:w="15" w:type="dxa"/>
          <w:bottom w:w="15" w:type="dxa"/>
          <w:right w:w="15" w:type="dxa"/>
        </w:tblCellMar>
      </w:tblPr>
      <w:tblGrid>
        <w:gridCol w:w="1599"/>
        <w:gridCol w:w="1707"/>
        <w:gridCol w:w="2253"/>
        <w:gridCol w:w="3834"/>
      </w:tblGrid>
      <w:tr w14:paraId="5E26C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54" w:type="dxa"/>
            <w:shd w:val="clear" w:color="auto" w:fill="auto"/>
            <w:noWrap/>
            <w:tcMar>
              <w:top w:w="90" w:type="dxa"/>
              <w:left w:w="150" w:type="dxa"/>
              <w:bottom w:w="90" w:type="dxa"/>
              <w:right w:w="150" w:type="dxa"/>
            </w:tcMar>
            <w:vAlign w:val="top"/>
          </w:tcPr>
          <w:p w14:paraId="3F29E598">
            <w:pPr>
              <w:keepNext w:val="0"/>
              <w:keepLines w:val="0"/>
              <w:pageBreakBefore w:val="0"/>
              <w:widowControl/>
              <w:suppressLineNumbers w:val="0"/>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b/>
                <w:bCs/>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Table</w:t>
            </w:r>
          </w:p>
        </w:tc>
        <w:tc>
          <w:tcPr>
            <w:tcW w:w="1677" w:type="dxa"/>
            <w:shd w:val="clear" w:color="auto" w:fill="auto"/>
            <w:noWrap/>
            <w:tcMar>
              <w:top w:w="90" w:type="dxa"/>
              <w:left w:w="150" w:type="dxa"/>
              <w:bottom w:w="90" w:type="dxa"/>
              <w:right w:w="150" w:type="dxa"/>
            </w:tcMar>
            <w:vAlign w:val="top"/>
          </w:tcPr>
          <w:p w14:paraId="65924F78">
            <w:pPr>
              <w:keepNext w:val="0"/>
              <w:keepLines w:val="0"/>
              <w:pageBreakBefore w:val="0"/>
              <w:widowControl/>
              <w:suppressLineNumbers w:val="0"/>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b/>
                <w:bCs/>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Original rows</w:t>
            </w:r>
          </w:p>
        </w:tc>
        <w:tc>
          <w:tcPr>
            <w:tcW w:w="2223" w:type="dxa"/>
            <w:shd w:val="clear" w:color="auto" w:fill="auto"/>
            <w:noWrap/>
            <w:tcMar>
              <w:top w:w="90" w:type="dxa"/>
              <w:left w:w="150" w:type="dxa"/>
              <w:bottom w:w="90" w:type="dxa"/>
              <w:right w:w="150" w:type="dxa"/>
            </w:tcMar>
            <w:vAlign w:val="top"/>
          </w:tcPr>
          <w:p w14:paraId="32F82286">
            <w:pPr>
              <w:keepNext w:val="0"/>
              <w:keepLines w:val="0"/>
              <w:pageBreakBefore w:val="0"/>
              <w:widowControl/>
              <w:suppressLineNumbers w:val="0"/>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b/>
                <w:bCs/>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Processed rows</w:t>
            </w:r>
          </w:p>
        </w:tc>
        <w:tc>
          <w:tcPr>
            <w:tcW w:w="3789" w:type="dxa"/>
            <w:shd w:val="clear" w:color="auto" w:fill="auto"/>
            <w:noWrap/>
            <w:tcMar>
              <w:top w:w="90" w:type="dxa"/>
              <w:left w:w="150" w:type="dxa"/>
              <w:bottom w:w="90" w:type="dxa"/>
              <w:right w:w="150" w:type="dxa"/>
            </w:tcMar>
            <w:vAlign w:val="top"/>
          </w:tcPr>
          <w:p w14:paraId="42893039">
            <w:pPr>
              <w:keepNext w:val="0"/>
              <w:keepLines w:val="0"/>
              <w:pageBreakBefore w:val="0"/>
              <w:widowControl/>
              <w:suppressLineNumbers w:val="0"/>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b/>
                <w:bCs/>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What was kept</w:t>
            </w:r>
          </w:p>
        </w:tc>
      </w:tr>
      <w:tr w14:paraId="290E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554" w:type="dxa"/>
            <w:shd w:val="clear" w:color="auto" w:fill="auto"/>
            <w:tcMar>
              <w:top w:w="90" w:type="dxa"/>
              <w:left w:w="150" w:type="dxa"/>
              <w:bottom w:w="90" w:type="dxa"/>
              <w:right w:w="150" w:type="dxa"/>
            </w:tcMar>
            <w:vAlign w:val="top"/>
          </w:tcPr>
          <w:p w14:paraId="3F2D27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admissions</w:t>
            </w:r>
          </w:p>
        </w:tc>
        <w:tc>
          <w:tcPr>
            <w:tcW w:w="1677" w:type="dxa"/>
            <w:shd w:val="clear" w:color="auto" w:fill="auto"/>
            <w:tcMar>
              <w:top w:w="90" w:type="dxa"/>
              <w:left w:w="150" w:type="dxa"/>
              <w:bottom w:w="90" w:type="dxa"/>
              <w:right w:w="150" w:type="dxa"/>
            </w:tcMar>
            <w:vAlign w:val="top"/>
          </w:tcPr>
          <w:p w14:paraId="47D79C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546,028</w:t>
            </w:r>
          </w:p>
        </w:tc>
        <w:tc>
          <w:tcPr>
            <w:tcW w:w="2223" w:type="dxa"/>
            <w:shd w:val="clear" w:color="auto" w:fill="auto"/>
            <w:tcMar>
              <w:top w:w="90" w:type="dxa"/>
              <w:left w:w="150" w:type="dxa"/>
              <w:bottom w:w="90" w:type="dxa"/>
              <w:right w:w="150" w:type="dxa"/>
            </w:tcMar>
            <w:vAlign w:val="top"/>
          </w:tcPr>
          <w:p w14:paraId="08B57A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545,848 (</w:t>
            </w:r>
            <w:r>
              <w:rPr>
                <w:rStyle w:val="20"/>
                <w:rFonts w:hint="default" w:ascii="Times New Roman" w:hAnsi="Times New Roman" w:eastAsia="Consolas" w:cs="Times New Roman"/>
                <w:i w:val="0"/>
                <w:iCs w:val="0"/>
                <w:caps w:val="0"/>
                <w:color w:val="auto"/>
                <w:spacing w:val="0"/>
                <w:kern w:val="0"/>
                <w:sz w:val="20"/>
                <w:szCs w:val="20"/>
                <w:lang w:val="en-US" w:eastAsia="zh-CN" w:bidi="ar"/>
              </w:rPr>
              <w:t>admissions_all</w:t>
            </w:r>
            <w:r>
              <w:rPr>
                <w:rFonts w:hint="default" w:ascii="Times New Roman" w:hAnsi="Times New Roman" w:eastAsia="Segoe UI" w:cs="Times New Roman"/>
                <w:i w:val="0"/>
                <w:iCs w:val="0"/>
                <w:caps w:val="0"/>
                <w:color w:val="auto"/>
                <w:spacing w:val="0"/>
                <w:kern w:val="0"/>
                <w:sz w:val="20"/>
                <w:szCs w:val="20"/>
                <w:lang w:val="en-US" w:eastAsia="zh-CN" w:bidi="ar"/>
              </w:rPr>
              <w:t>) and </w:t>
            </w:r>
            <w:r>
              <w:rPr>
                <w:rFonts w:hint="default" w:ascii="Times New Roman" w:hAnsi="Times New Roman" w:eastAsia="Segoe UI" w:cs="Times New Roman"/>
                <w:b/>
                <w:bCs/>
                <w:i w:val="0"/>
                <w:iCs w:val="0"/>
                <w:caps w:val="0"/>
                <w:color w:val="auto"/>
                <w:spacing w:val="0"/>
                <w:kern w:val="0"/>
                <w:sz w:val="20"/>
                <w:szCs w:val="20"/>
                <w:lang w:val="en-US" w:eastAsia="zh-CN" w:bidi="ar"/>
              </w:rPr>
              <w:t>153,448</w:t>
            </w:r>
            <w:r>
              <w:rPr>
                <w:rFonts w:hint="default" w:ascii="Times New Roman" w:hAnsi="Times New Roman" w:eastAsia="Segoe UI" w:cs="Times New Roman"/>
                <w:i w:val="0"/>
                <w:iCs w:val="0"/>
                <w:caps w:val="0"/>
                <w:color w:val="auto"/>
                <w:spacing w:val="0"/>
                <w:kern w:val="0"/>
                <w:sz w:val="20"/>
                <w:szCs w:val="20"/>
                <w:lang w:val="en-US" w:eastAsia="zh-CN" w:bidi="ar"/>
              </w:rPr>
              <w:t> (</w:t>
            </w:r>
            <w:r>
              <w:rPr>
                <w:rStyle w:val="20"/>
                <w:rFonts w:hint="default" w:ascii="Times New Roman" w:hAnsi="Times New Roman" w:eastAsia="Consolas" w:cs="Times New Roman"/>
                <w:i w:val="0"/>
                <w:iCs w:val="0"/>
                <w:caps w:val="0"/>
                <w:color w:val="auto"/>
                <w:spacing w:val="0"/>
                <w:kern w:val="0"/>
                <w:sz w:val="20"/>
                <w:szCs w:val="20"/>
                <w:lang w:val="en-US" w:eastAsia="zh-CN" w:bidi="ar"/>
              </w:rPr>
              <w:t>cohort</w:t>
            </w:r>
            <w:r>
              <w:rPr>
                <w:rFonts w:hint="default" w:ascii="Times New Roman" w:hAnsi="Times New Roman" w:eastAsia="Segoe UI" w:cs="Times New Roman"/>
                <w:i w:val="0"/>
                <w:iCs w:val="0"/>
                <w:caps w:val="0"/>
                <w:color w:val="auto"/>
                <w:spacing w:val="0"/>
                <w:kern w:val="0"/>
                <w:sz w:val="20"/>
                <w:szCs w:val="20"/>
                <w:lang w:val="en-US" w:eastAsia="zh-CN" w:bidi="ar"/>
              </w:rPr>
              <w:t>)</w:t>
            </w:r>
          </w:p>
        </w:tc>
        <w:tc>
          <w:tcPr>
            <w:tcW w:w="3789" w:type="dxa"/>
            <w:shd w:val="clear" w:color="auto" w:fill="auto"/>
            <w:tcMar>
              <w:top w:w="90" w:type="dxa"/>
              <w:left w:w="150" w:type="dxa"/>
              <w:bottom w:w="90" w:type="dxa"/>
              <w:right w:w="150" w:type="dxa"/>
            </w:tcMar>
            <w:vAlign w:val="top"/>
          </w:tcPr>
          <w:p w14:paraId="3F1CE8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All valid admissions for history; cohort is prior discharge in </w:t>
            </w:r>
            <w:r>
              <w:rPr>
                <w:rFonts w:hint="default" w:ascii="Times New Roman" w:hAnsi="Times New Roman" w:eastAsia="Segoe UI" w:cs="Times New Roman"/>
                <w:b/>
                <w:bCs/>
                <w:i w:val="0"/>
                <w:iCs w:val="0"/>
                <w:caps w:val="0"/>
                <w:color w:val="auto"/>
                <w:spacing w:val="0"/>
                <w:kern w:val="0"/>
                <w:sz w:val="20"/>
                <w:szCs w:val="20"/>
                <w:lang w:val="en-US" w:eastAsia="zh-CN" w:bidi="ar"/>
              </w:rPr>
              <w:t>[1 hour, 365 days]</w:t>
            </w:r>
            <w:r>
              <w:rPr>
                <w:rFonts w:hint="default" w:ascii="Times New Roman" w:hAnsi="Times New Roman" w:eastAsia="Segoe UI" w:cs="Times New Roman"/>
                <w:i w:val="0"/>
                <w:iCs w:val="0"/>
                <w:caps w:val="0"/>
                <w:color w:val="auto"/>
                <w:spacing w:val="0"/>
                <w:kern w:val="0"/>
                <w:sz w:val="20"/>
                <w:szCs w:val="20"/>
                <w:lang w:val="en-US" w:eastAsia="zh-CN" w:bidi="ar"/>
              </w:rPr>
              <w:t>, unplanned, adult, medical/surgical ward stay, not straight to the ICU</w:t>
            </w:r>
          </w:p>
        </w:tc>
      </w:tr>
      <w:tr w14:paraId="6E392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554" w:type="dxa"/>
            <w:shd w:val="clear" w:color="auto" w:fill="auto"/>
            <w:tcMar>
              <w:top w:w="90" w:type="dxa"/>
              <w:left w:w="150" w:type="dxa"/>
              <w:bottom w:w="90" w:type="dxa"/>
              <w:right w:w="150" w:type="dxa"/>
            </w:tcMar>
            <w:vAlign w:val="top"/>
          </w:tcPr>
          <w:p w14:paraId="5FA3F9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transfers</w:t>
            </w:r>
          </w:p>
        </w:tc>
        <w:tc>
          <w:tcPr>
            <w:tcW w:w="1677" w:type="dxa"/>
            <w:shd w:val="clear" w:color="auto" w:fill="auto"/>
            <w:tcMar>
              <w:top w:w="90" w:type="dxa"/>
              <w:left w:w="150" w:type="dxa"/>
              <w:bottom w:w="90" w:type="dxa"/>
              <w:right w:w="150" w:type="dxa"/>
            </w:tcMar>
            <w:vAlign w:val="top"/>
          </w:tcPr>
          <w:p w14:paraId="0AA79B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2,413,581</w:t>
            </w:r>
          </w:p>
        </w:tc>
        <w:tc>
          <w:tcPr>
            <w:tcW w:w="2223" w:type="dxa"/>
            <w:shd w:val="clear" w:color="auto" w:fill="auto"/>
            <w:tcMar>
              <w:top w:w="90" w:type="dxa"/>
              <w:left w:w="150" w:type="dxa"/>
              <w:bottom w:w="90" w:type="dxa"/>
              <w:right w:w="150" w:type="dxa"/>
            </w:tcMar>
            <w:vAlign w:val="top"/>
          </w:tcPr>
          <w:p w14:paraId="75606D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414,892</w:t>
            </w:r>
          </w:p>
        </w:tc>
        <w:tc>
          <w:tcPr>
            <w:tcW w:w="3789" w:type="dxa"/>
            <w:shd w:val="clear" w:color="auto" w:fill="auto"/>
            <w:tcMar>
              <w:top w:w="90" w:type="dxa"/>
              <w:left w:w="150" w:type="dxa"/>
              <w:bottom w:w="90" w:type="dxa"/>
              <w:right w:w="150" w:type="dxa"/>
            </w:tcMar>
            <w:vAlign w:val="top"/>
          </w:tcPr>
          <w:p w14:paraId="51D644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Only cohort admissions; no discharge rows or rows without an admission</w:t>
            </w:r>
          </w:p>
        </w:tc>
      </w:tr>
      <w:tr w14:paraId="3D9B8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554" w:type="dxa"/>
            <w:shd w:val="clear" w:color="auto" w:fill="auto"/>
            <w:tcMar>
              <w:top w:w="90" w:type="dxa"/>
              <w:left w:w="150" w:type="dxa"/>
              <w:bottom w:w="90" w:type="dxa"/>
              <w:right w:w="150" w:type="dxa"/>
            </w:tcMar>
            <w:vAlign w:val="top"/>
          </w:tcPr>
          <w:p w14:paraId="2F5C18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labevents</w:t>
            </w:r>
          </w:p>
        </w:tc>
        <w:tc>
          <w:tcPr>
            <w:tcW w:w="1677" w:type="dxa"/>
            <w:shd w:val="clear" w:color="auto" w:fill="auto"/>
            <w:tcMar>
              <w:top w:w="90" w:type="dxa"/>
              <w:left w:w="150" w:type="dxa"/>
              <w:bottom w:w="90" w:type="dxa"/>
              <w:right w:w="150" w:type="dxa"/>
            </w:tcMar>
            <w:vAlign w:val="top"/>
          </w:tcPr>
          <w:p w14:paraId="5D68ED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158,374,764</w:t>
            </w:r>
          </w:p>
        </w:tc>
        <w:tc>
          <w:tcPr>
            <w:tcW w:w="2223" w:type="dxa"/>
            <w:shd w:val="clear" w:color="auto" w:fill="auto"/>
            <w:tcMar>
              <w:top w:w="90" w:type="dxa"/>
              <w:left w:w="150" w:type="dxa"/>
              <w:bottom w:w="90" w:type="dxa"/>
              <w:right w:w="150" w:type="dxa"/>
            </w:tcMar>
            <w:vAlign w:val="top"/>
          </w:tcPr>
          <w:p w14:paraId="513F43A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12,496,372</w:t>
            </w:r>
          </w:p>
        </w:tc>
        <w:tc>
          <w:tcPr>
            <w:tcW w:w="3789" w:type="dxa"/>
            <w:shd w:val="clear" w:color="auto" w:fill="auto"/>
            <w:tcMar>
              <w:top w:w="90" w:type="dxa"/>
              <w:left w:w="150" w:type="dxa"/>
              <w:bottom w:w="90" w:type="dxa"/>
              <w:right w:w="150" w:type="dxa"/>
            </w:tcMar>
            <w:vAlign w:val="top"/>
          </w:tcPr>
          <w:p w14:paraId="32599B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Only cohort admissions and 21 lab tests</w:t>
            </w:r>
          </w:p>
        </w:tc>
      </w:tr>
      <w:tr w14:paraId="2477B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554" w:type="dxa"/>
            <w:shd w:val="clear" w:color="auto" w:fill="auto"/>
            <w:tcMar>
              <w:top w:w="90" w:type="dxa"/>
              <w:left w:w="150" w:type="dxa"/>
              <w:bottom w:w="90" w:type="dxa"/>
              <w:right w:w="150" w:type="dxa"/>
            </w:tcMar>
            <w:vAlign w:val="top"/>
          </w:tcPr>
          <w:p w14:paraId="699841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prescriptions</w:t>
            </w:r>
          </w:p>
        </w:tc>
        <w:tc>
          <w:tcPr>
            <w:tcW w:w="1677" w:type="dxa"/>
            <w:shd w:val="clear" w:color="auto" w:fill="auto"/>
            <w:tcMar>
              <w:top w:w="90" w:type="dxa"/>
              <w:left w:w="150" w:type="dxa"/>
              <w:bottom w:w="90" w:type="dxa"/>
              <w:right w:w="150" w:type="dxa"/>
            </w:tcMar>
            <w:vAlign w:val="top"/>
          </w:tcPr>
          <w:p w14:paraId="7EECD1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20,292,611</w:t>
            </w:r>
          </w:p>
        </w:tc>
        <w:tc>
          <w:tcPr>
            <w:tcW w:w="2223" w:type="dxa"/>
            <w:shd w:val="clear" w:color="auto" w:fill="auto"/>
            <w:tcMar>
              <w:top w:w="90" w:type="dxa"/>
              <w:left w:w="150" w:type="dxa"/>
              <w:bottom w:w="90" w:type="dxa"/>
              <w:right w:w="150" w:type="dxa"/>
            </w:tcMar>
            <w:vAlign w:val="top"/>
          </w:tcPr>
          <w:p w14:paraId="1A539F8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5,938,333</w:t>
            </w:r>
          </w:p>
        </w:tc>
        <w:tc>
          <w:tcPr>
            <w:tcW w:w="3789" w:type="dxa"/>
            <w:shd w:val="clear" w:color="auto" w:fill="auto"/>
            <w:tcMar>
              <w:top w:w="90" w:type="dxa"/>
              <w:left w:w="150" w:type="dxa"/>
              <w:bottom w:w="90" w:type="dxa"/>
              <w:right w:w="150" w:type="dxa"/>
            </w:tcMar>
            <w:vAlign w:val="top"/>
          </w:tcPr>
          <w:p w14:paraId="3F2901A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Only cohort admissions (includes ACEI flag)</w:t>
            </w:r>
          </w:p>
        </w:tc>
      </w:tr>
      <w:tr w14:paraId="4769F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554" w:type="dxa"/>
            <w:shd w:val="clear" w:color="auto" w:fill="auto"/>
            <w:tcMar>
              <w:top w:w="90" w:type="dxa"/>
              <w:left w:w="150" w:type="dxa"/>
              <w:bottom w:w="90" w:type="dxa"/>
              <w:right w:w="150" w:type="dxa"/>
            </w:tcMar>
            <w:vAlign w:val="top"/>
          </w:tcPr>
          <w:p w14:paraId="040554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diagnoses_icd</w:t>
            </w:r>
          </w:p>
        </w:tc>
        <w:tc>
          <w:tcPr>
            <w:tcW w:w="1677" w:type="dxa"/>
            <w:shd w:val="clear" w:color="auto" w:fill="auto"/>
            <w:tcMar>
              <w:top w:w="90" w:type="dxa"/>
              <w:left w:w="150" w:type="dxa"/>
              <w:bottom w:w="90" w:type="dxa"/>
              <w:right w:w="150" w:type="dxa"/>
            </w:tcMar>
            <w:vAlign w:val="top"/>
          </w:tcPr>
          <w:p w14:paraId="7A40A9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6,364,488</w:t>
            </w:r>
          </w:p>
        </w:tc>
        <w:tc>
          <w:tcPr>
            <w:tcW w:w="2223" w:type="dxa"/>
            <w:shd w:val="clear" w:color="auto" w:fill="auto"/>
            <w:tcMar>
              <w:top w:w="90" w:type="dxa"/>
              <w:left w:w="150" w:type="dxa"/>
              <w:bottom w:w="90" w:type="dxa"/>
              <w:right w:w="150" w:type="dxa"/>
            </w:tcMar>
            <w:vAlign w:val="top"/>
          </w:tcPr>
          <w:p w14:paraId="3AF8331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4,111,743</w:t>
            </w:r>
          </w:p>
        </w:tc>
        <w:tc>
          <w:tcPr>
            <w:tcW w:w="3789" w:type="dxa"/>
            <w:shd w:val="clear" w:color="auto" w:fill="auto"/>
            <w:tcMar>
              <w:top w:w="90" w:type="dxa"/>
              <w:left w:w="150" w:type="dxa"/>
              <w:bottom w:w="90" w:type="dxa"/>
              <w:right w:w="150" w:type="dxa"/>
            </w:tcMar>
            <w:vAlign w:val="top"/>
          </w:tcPr>
          <w:p w14:paraId="2C7D86B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Only cohort patients</w:t>
            </w:r>
          </w:p>
        </w:tc>
      </w:tr>
      <w:tr w14:paraId="08C72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554" w:type="dxa"/>
            <w:shd w:val="clear" w:color="auto" w:fill="auto"/>
            <w:tcMar>
              <w:top w:w="90" w:type="dxa"/>
              <w:left w:w="150" w:type="dxa"/>
              <w:bottom w:w="90" w:type="dxa"/>
              <w:right w:w="150" w:type="dxa"/>
            </w:tcMar>
            <w:vAlign w:val="top"/>
          </w:tcPr>
          <w:p w14:paraId="2CA31A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omr</w:t>
            </w:r>
          </w:p>
        </w:tc>
        <w:tc>
          <w:tcPr>
            <w:tcW w:w="1677" w:type="dxa"/>
            <w:shd w:val="clear" w:color="auto" w:fill="auto"/>
            <w:tcMar>
              <w:top w:w="90" w:type="dxa"/>
              <w:left w:w="150" w:type="dxa"/>
              <w:bottom w:w="90" w:type="dxa"/>
              <w:right w:w="150" w:type="dxa"/>
            </w:tcMar>
            <w:vAlign w:val="top"/>
          </w:tcPr>
          <w:p w14:paraId="14F995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7,753,027</w:t>
            </w:r>
          </w:p>
        </w:tc>
        <w:tc>
          <w:tcPr>
            <w:tcW w:w="2223" w:type="dxa"/>
            <w:shd w:val="clear" w:color="auto" w:fill="auto"/>
            <w:tcMar>
              <w:top w:w="90" w:type="dxa"/>
              <w:left w:w="150" w:type="dxa"/>
              <w:bottom w:w="90" w:type="dxa"/>
              <w:right w:w="150" w:type="dxa"/>
            </w:tcMar>
            <w:vAlign w:val="top"/>
          </w:tcPr>
          <w:p w14:paraId="1FD5AE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4,435,808</w:t>
            </w:r>
          </w:p>
        </w:tc>
        <w:tc>
          <w:tcPr>
            <w:tcW w:w="3789" w:type="dxa"/>
            <w:shd w:val="clear" w:color="auto" w:fill="auto"/>
            <w:tcMar>
              <w:top w:w="90" w:type="dxa"/>
              <w:left w:w="150" w:type="dxa"/>
              <w:bottom w:w="90" w:type="dxa"/>
              <w:right w:w="150" w:type="dxa"/>
            </w:tcMar>
            <w:vAlign w:val="top"/>
          </w:tcPr>
          <w:p w14:paraId="3E360F6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Only cohort patients; BP, weight, and BMI</w:t>
            </w:r>
          </w:p>
        </w:tc>
      </w:tr>
      <w:tr w14:paraId="24D83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554" w:type="dxa"/>
            <w:shd w:val="clear" w:color="auto" w:fill="auto"/>
            <w:tcMar>
              <w:top w:w="90" w:type="dxa"/>
              <w:left w:w="150" w:type="dxa"/>
              <w:bottom w:w="90" w:type="dxa"/>
              <w:right w:w="150" w:type="dxa"/>
            </w:tcMar>
            <w:vAlign w:val="top"/>
          </w:tcPr>
          <w:p w14:paraId="41BC04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services</w:t>
            </w:r>
          </w:p>
        </w:tc>
        <w:tc>
          <w:tcPr>
            <w:tcW w:w="1677" w:type="dxa"/>
            <w:shd w:val="clear" w:color="auto" w:fill="auto"/>
            <w:tcMar>
              <w:top w:w="90" w:type="dxa"/>
              <w:left w:w="150" w:type="dxa"/>
              <w:bottom w:w="90" w:type="dxa"/>
              <w:right w:w="150" w:type="dxa"/>
            </w:tcMar>
            <w:vAlign w:val="top"/>
          </w:tcPr>
          <w:p w14:paraId="006316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593,071</w:t>
            </w:r>
          </w:p>
        </w:tc>
        <w:tc>
          <w:tcPr>
            <w:tcW w:w="2223" w:type="dxa"/>
            <w:shd w:val="clear" w:color="auto" w:fill="auto"/>
            <w:tcMar>
              <w:top w:w="90" w:type="dxa"/>
              <w:left w:w="150" w:type="dxa"/>
              <w:bottom w:w="90" w:type="dxa"/>
              <w:right w:w="150" w:type="dxa"/>
            </w:tcMar>
            <w:vAlign w:val="top"/>
          </w:tcPr>
          <w:p w14:paraId="2F9429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b/>
                <w:bCs/>
                <w:i w:val="0"/>
                <w:iCs w:val="0"/>
                <w:caps w:val="0"/>
                <w:color w:val="auto"/>
                <w:spacing w:val="0"/>
                <w:kern w:val="0"/>
                <w:sz w:val="20"/>
                <w:szCs w:val="20"/>
                <w:lang w:val="en-US" w:eastAsia="zh-CN" w:bidi="ar"/>
              </w:rPr>
              <w:t>168,442</w:t>
            </w:r>
          </w:p>
        </w:tc>
        <w:tc>
          <w:tcPr>
            <w:tcW w:w="3789" w:type="dxa"/>
            <w:shd w:val="clear" w:color="auto" w:fill="auto"/>
            <w:tcMar>
              <w:top w:w="90" w:type="dxa"/>
              <w:left w:w="150" w:type="dxa"/>
              <w:bottom w:w="90" w:type="dxa"/>
              <w:right w:w="150" w:type="dxa"/>
            </w:tcMar>
            <w:vAlign w:val="top"/>
          </w:tcPr>
          <w:p w14:paraId="7F4206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top"/>
              <w:rPr>
                <w:rFonts w:hint="default" w:ascii="Times New Roman" w:hAnsi="Times New Roman" w:eastAsia="Segoe UI" w:cs="Times New Roman"/>
                <w:i w:val="0"/>
                <w:iCs w:val="0"/>
                <w:caps w:val="0"/>
                <w:color w:val="auto"/>
                <w:spacing w:val="0"/>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Only cohort admissions</w:t>
            </w:r>
          </w:p>
        </w:tc>
      </w:tr>
    </w:tbl>
    <w:tbl>
      <w:tblPr>
        <w:tblStyle w:val="12"/>
        <w:tblpPr w:leftFromText="180" w:rightFromText="180" w:vertAnchor="text" w:horzAnchor="page" w:tblpX="2603" w:tblpY="524"/>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Layout w:type="fixed"/>
        <w:tblCellMar>
          <w:top w:w="15" w:type="dxa"/>
          <w:left w:w="15" w:type="dxa"/>
          <w:bottom w:w="15" w:type="dxa"/>
          <w:right w:w="15" w:type="dxa"/>
        </w:tblCellMar>
      </w:tblPr>
      <w:tblGrid>
        <w:gridCol w:w="720"/>
        <w:gridCol w:w="2257"/>
        <w:gridCol w:w="4282"/>
      </w:tblGrid>
      <w:tr w14:paraId="17417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noWrap/>
            <w:tcMar>
              <w:top w:w="90" w:type="dxa"/>
              <w:left w:w="150" w:type="dxa"/>
              <w:bottom w:w="90" w:type="dxa"/>
              <w:right w:w="150" w:type="dxa"/>
            </w:tcMar>
            <w:vAlign w:val="top"/>
          </w:tcPr>
          <w:p w14:paraId="4E8056E1">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b/>
                <w:bCs/>
                <w:i w:val="0"/>
                <w:iCs w:val="0"/>
                <w:caps w:val="0"/>
                <w:color w:val="auto"/>
                <w:spacing w:val="0"/>
                <w:sz w:val="18"/>
                <w:szCs w:val="18"/>
              </w:rPr>
            </w:pPr>
            <w:r>
              <w:rPr>
                <w:rFonts w:hint="default" w:ascii="Calibri" w:hAnsi="Calibri" w:eastAsia="Segoe UI" w:cs="Calibri"/>
                <w:b/>
                <w:bCs/>
                <w:i w:val="0"/>
                <w:iCs w:val="0"/>
                <w:caps w:val="0"/>
                <w:color w:val="auto"/>
                <w:spacing w:val="0"/>
                <w:kern w:val="0"/>
                <w:sz w:val="18"/>
                <w:szCs w:val="18"/>
                <w:lang w:val="en-US" w:eastAsia="zh-CN" w:bidi="ar"/>
              </w:rPr>
              <w:t>#</w:t>
            </w:r>
          </w:p>
        </w:tc>
        <w:tc>
          <w:tcPr>
            <w:tcW w:w="2227" w:type="dxa"/>
            <w:shd w:val="clear" w:color="auto" w:fill="auto"/>
            <w:noWrap/>
            <w:tcMar>
              <w:top w:w="90" w:type="dxa"/>
              <w:left w:w="150" w:type="dxa"/>
              <w:bottom w:w="90" w:type="dxa"/>
              <w:right w:w="150" w:type="dxa"/>
            </w:tcMar>
            <w:vAlign w:val="top"/>
          </w:tcPr>
          <w:p w14:paraId="180C04C8">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b/>
                <w:bCs/>
                <w:i w:val="0"/>
                <w:iCs w:val="0"/>
                <w:caps w:val="0"/>
                <w:color w:val="auto"/>
                <w:spacing w:val="0"/>
                <w:sz w:val="18"/>
                <w:szCs w:val="18"/>
              </w:rPr>
            </w:pPr>
            <w:r>
              <w:rPr>
                <w:rFonts w:hint="default" w:ascii="Calibri" w:hAnsi="Calibri" w:eastAsia="Segoe UI" w:cs="Calibri"/>
                <w:b/>
                <w:bCs/>
                <w:i w:val="0"/>
                <w:iCs w:val="0"/>
                <w:caps w:val="0"/>
                <w:color w:val="auto"/>
                <w:spacing w:val="0"/>
                <w:kern w:val="0"/>
                <w:sz w:val="18"/>
                <w:szCs w:val="18"/>
                <w:lang w:val="en-US" w:eastAsia="zh-CN" w:bidi="ar"/>
              </w:rPr>
              <w:t>File</w:t>
            </w:r>
          </w:p>
        </w:tc>
        <w:tc>
          <w:tcPr>
            <w:tcW w:w="4237" w:type="dxa"/>
            <w:shd w:val="clear" w:color="auto" w:fill="auto"/>
            <w:noWrap/>
            <w:tcMar>
              <w:top w:w="90" w:type="dxa"/>
              <w:left w:w="150" w:type="dxa"/>
              <w:bottom w:w="90" w:type="dxa"/>
              <w:right w:w="150" w:type="dxa"/>
            </w:tcMar>
            <w:vAlign w:val="top"/>
          </w:tcPr>
          <w:p w14:paraId="3A834F2F">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b/>
                <w:bCs/>
                <w:i w:val="0"/>
                <w:iCs w:val="0"/>
                <w:caps w:val="0"/>
                <w:color w:val="auto"/>
                <w:spacing w:val="0"/>
                <w:sz w:val="18"/>
                <w:szCs w:val="18"/>
              </w:rPr>
            </w:pPr>
            <w:r>
              <w:rPr>
                <w:rFonts w:hint="default" w:ascii="Calibri" w:hAnsi="Calibri" w:eastAsia="Segoe UI" w:cs="Calibri"/>
                <w:b/>
                <w:bCs/>
                <w:i w:val="0"/>
                <w:iCs w:val="0"/>
                <w:caps w:val="0"/>
                <w:color w:val="auto"/>
                <w:spacing w:val="0"/>
                <w:kern w:val="0"/>
                <w:sz w:val="18"/>
                <w:szCs w:val="18"/>
                <w:lang w:val="en-US" w:eastAsia="zh-CN" w:bidi="ar"/>
              </w:rPr>
              <w:t>Used in</w:t>
            </w:r>
          </w:p>
        </w:tc>
      </w:tr>
      <w:tr w14:paraId="0EF5F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tcMar>
              <w:top w:w="90" w:type="dxa"/>
              <w:left w:w="150" w:type="dxa"/>
              <w:bottom w:w="90" w:type="dxa"/>
              <w:right w:w="150" w:type="dxa"/>
            </w:tcMar>
            <w:vAlign w:val="top"/>
          </w:tcPr>
          <w:p w14:paraId="205FE8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Segoe UI" w:cs="Calibri"/>
                <w:i w:val="0"/>
                <w:iCs w:val="0"/>
                <w:caps w:val="0"/>
                <w:color w:val="auto"/>
                <w:spacing w:val="0"/>
                <w:kern w:val="0"/>
                <w:sz w:val="18"/>
                <w:szCs w:val="18"/>
                <w:lang w:val="en-US" w:eastAsia="zh-CN" w:bidi="ar"/>
              </w:rPr>
              <w:t>1</w:t>
            </w:r>
          </w:p>
        </w:tc>
        <w:tc>
          <w:tcPr>
            <w:tcW w:w="2227" w:type="dxa"/>
            <w:shd w:val="clear" w:color="auto" w:fill="auto"/>
            <w:tcMar>
              <w:top w:w="90" w:type="dxa"/>
              <w:left w:w="150" w:type="dxa"/>
              <w:bottom w:w="90" w:type="dxa"/>
              <w:right w:w="150" w:type="dxa"/>
            </w:tcMar>
            <w:vAlign w:val="top"/>
          </w:tcPr>
          <w:p w14:paraId="1A96CD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hosp/admissions.csv.gz</w:t>
            </w:r>
          </w:p>
        </w:tc>
        <w:tc>
          <w:tcPr>
            <w:tcW w:w="4237" w:type="dxa"/>
            <w:shd w:val="clear" w:color="auto" w:fill="auto"/>
            <w:tcMar>
              <w:top w:w="90" w:type="dxa"/>
              <w:left w:w="150" w:type="dxa"/>
              <w:bottom w:w="90" w:type="dxa"/>
              <w:right w:w="150" w:type="dxa"/>
            </w:tcMar>
            <w:vAlign w:val="top"/>
          </w:tcPr>
          <w:p w14:paraId="6EFBE4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clean.py</w:t>
            </w:r>
            <w:r>
              <w:rPr>
                <w:rFonts w:hint="default" w:ascii="Calibri" w:hAnsi="Calibri" w:eastAsia="Segoe UI" w:cs="Calibri"/>
                <w:i w:val="0"/>
                <w:iCs w:val="0"/>
                <w:caps w:val="0"/>
                <w:color w:val="auto"/>
                <w:spacing w:val="0"/>
                <w:kern w:val="0"/>
                <w:sz w:val="18"/>
                <w:szCs w:val="18"/>
                <w:lang w:val="en-US" w:eastAsia="zh-CN" w:bidi="ar"/>
              </w:rPr>
              <w:t>: cohort, history</w:t>
            </w:r>
          </w:p>
        </w:tc>
      </w:tr>
      <w:tr w14:paraId="694CD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tcMar>
              <w:top w:w="90" w:type="dxa"/>
              <w:left w:w="150" w:type="dxa"/>
              <w:bottom w:w="90" w:type="dxa"/>
              <w:right w:w="150" w:type="dxa"/>
            </w:tcMar>
            <w:vAlign w:val="top"/>
          </w:tcPr>
          <w:p w14:paraId="4556401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Segoe UI" w:cs="Calibri"/>
                <w:i w:val="0"/>
                <w:iCs w:val="0"/>
                <w:caps w:val="0"/>
                <w:color w:val="auto"/>
                <w:spacing w:val="0"/>
                <w:kern w:val="0"/>
                <w:sz w:val="18"/>
                <w:szCs w:val="18"/>
                <w:lang w:val="en-US" w:eastAsia="zh-CN" w:bidi="ar"/>
              </w:rPr>
              <w:t>2</w:t>
            </w:r>
          </w:p>
        </w:tc>
        <w:tc>
          <w:tcPr>
            <w:tcW w:w="2227" w:type="dxa"/>
            <w:shd w:val="clear" w:color="auto" w:fill="auto"/>
            <w:tcMar>
              <w:top w:w="90" w:type="dxa"/>
              <w:left w:w="150" w:type="dxa"/>
              <w:bottom w:w="90" w:type="dxa"/>
              <w:right w:w="150" w:type="dxa"/>
            </w:tcMar>
            <w:vAlign w:val="top"/>
          </w:tcPr>
          <w:p w14:paraId="0566AD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hosp/patients.csv.gz</w:t>
            </w:r>
          </w:p>
        </w:tc>
        <w:tc>
          <w:tcPr>
            <w:tcW w:w="4237" w:type="dxa"/>
            <w:shd w:val="clear" w:color="auto" w:fill="auto"/>
            <w:tcMar>
              <w:top w:w="90" w:type="dxa"/>
              <w:left w:w="150" w:type="dxa"/>
              <w:bottom w:w="90" w:type="dxa"/>
              <w:right w:w="150" w:type="dxa"/>
            </w:tcMar>
            <w:vAlign w:val="top"/>
          </w:tcPr>
          <w:p w14:paraId="492E96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clean.py</w:t>
            </w:r>
            <w:r>
              <w:rPr>
                <w:rFonts w:hint="default" w:ascii="Calibri" w:hAnsi="Calibri" w:eastAsia="Segoe UI" w:cs="Calibri"/>
                <w:i w:val="0"/>
                <w:iCs w:val="0"/>
                <w:caps w:val="0"/>
                <w:color w:val="auto"/>
                <w:spacing w:val="0"/>
                <w:kern w:val="0"/>
                <w:sz w:val="18"/>
                <w:szCs w:val="18"/>
                <w:lang w:val="en-US" w:eastAsia="zh-CN" w:bidi="ar"/>
              </w:rPr>
              <w:t>: sex, age</w:t>
            </w:r>
          </w:p>
        </w:tc>
      </w:tr>
      <w:tr w14:paraId="6E1AB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tcMar>
              <w:top w:w="90" w:type="dxa"/>
              <w:left w:w="150" w:type="dxa"/>
              <w:bottom w:w="90" w:type="dxa"/>
              <w:right w:w="150" w:type="dxa"/>
            </w:tcMar>
            <w:vAlign w:val="top"/>
          </w:tcPr>
          <w:p w14:paraId="6C0CAF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Segoe UI" w:cs="Calibri"/>
                <w:i w:val="0"/>
                <w:iCs w:val="0"/>
                <w:caps w:val="0"/>
                <w:color w:val="auto"/>
                <w:spacing w:val="0"/>
                <w:kern w:val="0"/>
                <w:sz w:val="18"/>
                <w:szCs w:val="18"/>
                <w:lang w:val="en-US" w:eastAsia="zh-CN" w:bidi="ar"/>
              </w:rPr>
              <w:t>3</w:t>
            </w:r>
          </w:p>
        </w:tc>
        <w:tc>
          <w:tcPr>
            <w:tcW w:w="2227" w:type="dxa"/>
            <w:shd w:val="clear" w:color="auto" w:fill="auto"/>
            <w:tcMar>
              <w:top w:w="90" w:type="dxa"/>
              <w:left w:w="150" w:type="dxa"/>
              <w:bottom w:w="90" w:type="dxa"/>
              <w:right w:w="150" w:type="dxa"/>
            </w:tcMar>
            <w:vAlign w:val="top"/>
          </w:tcPr>
          <w:p w14:paraId="6E872B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hosp/transfers.csv.gz</w:t>
            </w:r>
          </w:p>
        </w:tc>
        <w:tc>
          <w:tcPr>
            <w:tcW w:w="4237" w:type="dxa"/>
            <w:shd w:val="clear" w:color="auto" w:fill="auto"/>
            <w:tcMar>
              <w:top w:w="90" w:type="dxa"/>
              <w:left w:w="150" w:type="dxa"/>
              <w:bottom w:w="90" w:type="dxa"/>
              <w:right w:w="150" w:type="dxa"/>
            </w:tcMar>
            <w:vAlign w:val="top"/>
          </w:tcPr>
          <w:p w14:paraId="421412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clean.py</w:t>
            </w:r>
            <w:r>
              <w:rPr>
                <w:rFonts w:hint="default" w:ascii="Calibri" w:hAnsi="Calibri" w:eastAsia="Segoe UI" w:cs="Calibri"/>
                <w:i w:val="0"/>
                <w:iCs w:val="0"/>
                <w:caps w:val="0"/>
                <w:color w:val="auto"/>
                <w:spacing w:val="0"/>
                <w:kern w:val="0"/>
                <w:sz w:val="18"/>
                <w:szCs w:val="18"/>
                <w:lang w:val="en-US" w:eastAsia="zh-CN" w:bidi="ar"/>
              </w:rPr>
              <w:t>: ward and ICU times, snapshots, labels</w:t>
            </w:r>
          </w:p>
        </w:tc>
      </w:tr>
      <w:tr w14:paraId="69E13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tcMar>
              <w:top w:w="90" w:type="dxa"/>
              <w:left w:w="150" w:type="dxa"/>
              <w:bottom w:w="90" w:type="dxa"/>
              <w:right w:w="150" w:type="dxa"/>
            </w:tcMar>
            <w:vAlign w:val="top"/>
          </w:tcPr>
          <w:p w14:paraId="72D771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Segoe UI" w:cs="Calibri"/>
                <w:i w:val="0"/>
                <w:iCs w:val="0"/>
                <w:caps w:val="0"/>
                <w:color w:val="auto"/>
                <w:spacing w:val="0"/>
                <w:kern w:val="0"/>
                <w:sz w:val="18"/>
                <w:szCs w:val="18"/>
                <w:lang w:val="en-US" w:eastAsia="zh-CN" w:bidi="ar"/>
              </w:rPr>
              <w:t>4</w:t>
            </w:r>
          </w:p>
        </w:tc>
        <w:tc>
          <w:tcPr>
            <w:tcW w:w="2227" w:type="dxa"/>
            <w:shd w:val="clear" w:color="auto" w:fill="auto"/>
            <w:tcMar>
              <w:top w:w="90" w:type="dxa"/>
              <w:left w:w="150" w:type="dxa"/>
              <w:bottom w:w="90" w:type="dxa"/>
              <w:right w:w="150" w:type="dxa"/>
            </w:tcMar>
            <w:vAlign w:val="top"/>
          </w:tcPr>
          <w:p w14:paraId="08C1E1B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icu/icustays.csv.gz</w:t>
            </w:r>
          </w:p>
        </w:tc>
        <w:tc>
          <w:tcPr>
            <w:tcW w:w="4237" w:type="dxa"/>
            <w:shd w:val="clear" w:color="auto" w:fill="auto"/>
            <w:tcMar>
              <w:top w:w="90" w:type="dxa"/>
              <w:left w:w="150" w:type="dxa"/>
              <w:bottom w:w="90" w:type="dxa"/>
              <w:right w:w="150" w:type="dxa"/>
            </w:tcMar>
            <w:vAlign w:val="top"/>
          </w:tcPr>
          <w:p w14:paraId="3A8DC8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clean.py</w:t>
            </w:r>
            <w:r>
              <w:rPr>
                <w:rFonts w:hint="default" w:ascii="Calibri" w:hAnsi="Calibri" w:eastAsia="Segoe UI" w:cs="Calibri"/>
                <w:i w:val="0"/>
                <w:iCs w:val="0"/>
                <w:caps w:val="0"/>
                <w:color w:val="auto"/>
                <w:spacing w:val="0"/>
                <w:kern w:val="0"/>
                <w:sz w:val="18"/>
                <w:szCs w:val="18"/>
                <w:lang w:val="en-US" w:eastAsia="zh-CN" w:bidi="ar"/>
              </w:rPr>
              <w:t>: cross-check of ICU times only</w:t>
            </w:r>
          </w:p>
        </w:tc>
      </w:tr>
      <w:tr w14:paraId="627E1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tcMar>
              <w:top w:w="90" w:type="dxa"/>
              <w:left w:w="150" w:type="dxa"/>
              <w:bottom w:w="90" w:type="dxa"/>
              <w:right w:w="150" w:type="dxa"/>
            </w:tcMar>
            <w:vAlign w:val="top"/>
          </w:tcPr>
          <w:p w14:paraId="57DA08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Segoe UI" w:cs="Calibri"/>
                <w:i w:val="0"/>
                <w:iCs w:val="0"/>
                <w:caps w:val="0"/>
                <w:color w:val="auto"/>
                <w:spacing w:val="0"/>
                <w:kern w:val="0"/>
                <w:sz w:val="18"/>
                <w:szCs w:val="18"/>
                <w:lang w:val="en-US" w:eastAsia="zh-CN" w:bidi="ar"/>
              </w:rPr>
              <w:t>5</w:t>
            </w:r>
          </w:p>
        </w:tc>
        <w:tc>
          <w:tcPr>
            <w:tcW w:w="2227" w:type="dxa"/>
            <w:shd w:val="clear" w:color="auto" w:fill="auto"/>
            <w:tcMar>
              <w:top w:w="90" w:type="dxa"/>
              <w:left w:w="150" w:type="dxa"/>
              <w:bottom w:w="90" w:type="dxa"/>
              <w:right w:w="150" w:type="dxa"/>
            </w:tcMar>
            <w:vAlign w:val="top"/>
          </w:tcPr>
          <w:p w14:paraId="21C308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hosp/services.csv.gz</w:t>
            </w:r>
          </w:p>
        </w:tc>
        <w:tc>
          <w:tcPr>
            <w:tcW w:w="4237" w:type="dxa"/>
            <w:shd w:val="clear" w:color="auto" w:fill="auto"/>
            <w:tcMar>
              <w:top w:w="90" w:type="dxa"/>
              <w:left w:w="150" w:type="dxa"/>
              <w:bottom w:w="90" w:type="dxa"/>
              <w:right w:w="150" w:type="dxa"/>
            </w:tcMar>
            <w:vAlign w:val="top"/>
          </w:tcPr>
          <w:p w14:paraId="3F9EFE4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clean.py</w:t>
            </w:r>
            <w:r>
              <w:rPr>
                <w:rFonts w:hint="default" w:ascii="Calibri" w:hAnsi="Calibri" w:eastAsia="Segoe UI" w:cs="Calibri"/>
                <w:i w:val="0"/>
                <w:iCs w:val="0"/>
                <w:caps w:val="0"/>
                <w:color w:val="auto"/>
                <w:spacing w:val="0"/>
                <w:kern w:val="0"/>
                <w:sz w:val="18"/>
                <w:szCs w:val="18"/>
                <w:lang w:val="en-US" w:eastAsia="zh-CN" w:bidi="ar"/>
              </w:rPr>
              <w:t>: current service</w:t>
            </w:r>
          </w:p>
        </w:tc>
      </w:tr>
      <w:tr w14:paraId="39AE9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tcMar>
              <w:top w:w="90" w:type="dxa"/>
              <w:left w:w="150" w:type="dxa"/>
              <w:bottom w:w="90" w:type="dxa"/>
              <w:right w:w="150" w:type="dxa"/>
            </w:tcMar>
            <w:vAlign w:val="top"/>
          </w:tcPr>
          <w:p w14:paraId="40A8924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Segoe UI" w:cs="Calibri"/>
                <w:i w:val="0"/>
                <w:iCs w:val="0"/>
                <w:caps w:val="0"/>
                <w:color w:val="auto"/>
                <w:spacing w:val="0"/>
                <w:kern w:val="0"/>
                <w:sz w:val="18"/>
                <w:szCs w:val="18"/>
                <w:lang w:val="en-US" w:eastAsia="zh-CN" w:bidi="ar"/>
              </w:rPr>
              <w:t>6</w:t>
            </w:r>
          </w:p>
        </w:tc>
        <w:tc>
          <w:tcPr>
            <w:tcW w:w="2227" w:type="dxa"/>
            <w:shd w:val="clear" w:color="auto" w:fill="auto"/>
            <w:tcMar>
              <w:top w:w="90" w:type="dxa"/>
              <w:left w:w="150" w:type="dxa"/>
              <w:bottom w:w="90" w:type="dxa"/>
              <w:right w:w="150" w:type="dxa"/>
            </w:tcMar>
            <w:vAlign w:val="top"/>
          </w:tcPr>
          <w:p w14:paraId="198765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hosp/labevents.csv.gz</w:t>
            </w:r>
          </w:p>
        </w:tc>
        <w:tc>
          <w:tcPr>
            <w:tcW w:w="4237" w:type="dxa"/>
            <w:shd w:val="clear" w:color="auto" w:fill="auto"/>
            <w:tcMar>
              <w:top w:w="90" w:type="dxa"/>
              <w:left w:w="150" w:type="dxa"/>
              <w:bottom w:w="90" w:type="dxa"/>
              <w:right w:w="150" w:type="dxa"/>
            </w:tcMar>
            <w:vAlign w:val="top"/>
          </w:tcPr>
          <w:p w14:paraId="557783D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clean.py</w:t>
            </w:r>
            <w:r>
              <w:rPr>
                <w:rFonts w:hint="default" w:ascii="Calibri" w:hAnsi="Calibri" w:eastAsia="Segoe UI" w:cs="Calibri"/>
                <w:i w:val="0"/>
                <w:iCs w:val="0"/>
                <w:caps w:val="0"/>
                <w:color w:val="auto"/>
                <w:spacing w:val="0"/>
                <w:kern w:val="0"/>
                <w:sz w:val="18"/>
                <w:szCs w:val="18"/>
                <w:lang w:val="en-US" w:eastAsia="zh-CN" w:bidi="ar"/>
              </w:rPr>
              <w:t>: 21 lab tests</w:t>
            </w:r>
          </w:p>
        </w:tc>
      </w:tr>
      <w:tr w14:paraId="1673B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tcMar>
              <w:top w:w="90" w:type="dxa"/>
              <w:left w:w="150" w:type="dxa"/>
              <w:bottom w:w="90" w:type="dxa"/>
              <w:right w:w="150" w:type="dxa"/>
            </w:tcMar>
            <w:vAlign w:val="top"/>
          </w:tcPr>
          <w:p w14:paraId="46FD53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Segoe UI" w:cs="Calibri"/>
                <w:i w:val="0"/>
                <w:iCs w:val="0"/>
                <w:caps w:val="0"/>
                <w:color w:val="auto"/>
                <w:spacing w:val="0"/>
                <w:kern w:val="0"/>
                <w:sz w:val="18"/>
                <w:szCs w:val="18"/>
                <w:lang w:val="en-US" w:eastAsia="zh-CN" w:bidi="ar"/>
              </w:rPr>
              <w:t>7</w:t>
            </w:r>
          </w:p>
        </w:tc>
        <w:tc>
          <w:tcPr>
            <w:tcW w:w="2227" w:type="dxa"/>
            <w:shd w:val="clear" w:color="auto" w:fill="auto"/>
            <w:tcMar>
              <w:top w:w="90" w:type="dxa"/>
              <w:left w:w="150" w:type="dxa"/>
              <w:bottom w:w="90" w:type="dxa"/>
              <w:right w:w="150" w:type="dxa"/>
            </w:tcMar>
            <w:vAlign w:val="top"/>
          </w:tcPr>
          <w:p w14:paraId="6EF35C0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hosp/prescriptions.csv.gz</w:t>
            </w:r>
          </w:p>
        </w:tc>
        <w:tc>
          <w:tcPr>
            <w:tcW w:w="4237" w:type="dxa"/>
            <w:shd w:val="clear" w:color="auto" w:fill="auto"/>
            <w:tcMar>
              <w:top w:w="90" w:type="dxa"/>
              <w:left w:w="150" w:type="dxa"/>
              <w:bottom w:w="90" w:type="dxa"/>
              <w:right w:w="150" w:type="dxa"/>
            </w:tcMar>
            <w:vAlign w:val="top"/>
          </w:tcPr>
          <w:p w14:paraId="59622A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clean.py</w:t>
            </w:r>
            <w:r>
              <w:rPr>
                <w:rFonts w:hint="default" w:ascii="Calibri" w:hAnsi="Calibri" w:eastAsia="Segoe UI" w:cs="Calibri"/>
                <w:i w:val="0"/>
                <w:iCs w:val="0"/>
                <w:caps w:val="0"/>
                <w:color w:val="auto"/>
                <w:spacing w:val="0"/>
                <w:kern w:val="0"/>
                <w:sz w:val="18"/>
                <w:szCs w:val="18"/>
                <w:lang w:val="en-US" w:eastAsia="zh-CN" w:bidi="ar"/>
              </w:rPr>
              <w:t>: medication classes</w:t>
            </w:r>
          </w:p>
        </w:tc>
      </w:tr>
      <w:tr w14:paraId="7BA3F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tcMar>
              <w:top w:w="90" w:type="dxa"/>
              <w:left w:w="150" w:type="dxa"/>
              <w:bottom w:w="90" w:type="dxa"/>
              <w:right w:w="150" w:type="dxa"/>
            </w:tcMar>
            <w:vAlign w:val="top"/>
          </w:tcPr>
          <w:p w14:paraId="457776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Segoe UI" w:cs="Calibri"/>
                <w:i w:val="0"/>
                <w:iCs w:val="0"/>
                <w:caps w:val="0"/>
                <w:color w:val="auto"/>
                <w:spacing w:val="0"/>
                <w:kern w:val="0"/>
                <w:sz w:val="18"/>
                <w:szCs w:val="18"/>
                <w:lang w:val="en-US" w:eastAsia="zh-CN" w:bidi="ar"/>
              </w:rPr>
              <w:t>8</w:t>
            </w:r>
          </w:p>
        </w:tc>
        <w:tc>
          <w:tcPr>
            <w:tcW w:w="2227" w:type="dxa"/>
            <w:shd w:val="clear" w:color="auto" w:fill="auto"/>
            <w:tcMar>
              <w:top w:w="90" w:type="dxa"/>
              <w:left w:w="150" w:type="dxa"/>
              <w:bottom w:w="90" w:type="dxa"/>
              <w:right w:w="150" w:type="dxa"/>
            </w:tcMar>
            <w:vAlign w:val="top"/>
          </w:tcPr>
          <w:p w14:paraId="48C539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hosp/diagnoses_icd.csv.gz</w:t>
            </w:r>
          </w:p>
        </w:tc>
        <w:tc>
          <w:tcPr>
            <w:tcW w:w="4237" w:type="dxa"/>
            <w:shd w:val="clear" w:color="auto" w:fill="auto"/>
            <w:tcMar>
              <w:top w:w="90" w:type="dxa"/>
              <w:left w:w="150" w:type="dxa"/>
              <w:bottom w:w="90" w:type="dxa"/>
              <w:right w:w="150" w:type="dxa"/>
            </w:tcMar>
            <w:vAlign w:val="top"/>
          </w:tcPr>
          <w:p w14:paraId="6837C3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clean.py</w:t>
            </w:r>
            <w:r>
              <w:rPr>
                <w:rFonts w:hint="default" w:ascii="Calibri" w:hAnsi="Calibri" w:eastAsia="Segoe UI" w:cs="Calibri"/>
                <w:i w:val="0"/>
                <w:iCs w:val="0"/>
                <w:caps w:val="0"/>
                <w:color w:val="auto"/>
                <w:spacing w:val="0"/>
                <w:kern w:val="0"/>
                <w:sz w:val="18"/>
                <w:szCs w:val="18"/>
                <w:lang w:val="en-US" w:eastAsia="zh-CN" w:bidi="ar"/>
              </w:rPr>
              <w:t>: comorbidities</w:t>
            </w:r>
          </w:p>
        </w:tc>
      </w:tr>
      <w:tr w14:paraId="2E384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675" w:type="dxa"/>
            <w:shd w:val="clear" w:color="auto" w:fill="auto"/>
            <w:tcMar>
              <w:top w:w="90" w:type="dxa"/>
              <w:left w:w="150" w:type="dxa"/>
              <w:bottom w:w="90" w:type="dxa"/>
              <w:right w:w="150" w:type="dxa"/>
            </w:tcMar>
            <w:vAlign w:val="top"/>
          </w:tcPr>
          <w:p w14:paraId="598CD4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Segoe UI" w:cs="Calibri"/>
                <w:i w:val="0"/>
                <w:iCs w:val="0"/>
                <w:caps w:val="0"/>
                <w:color w:val="auto"/>
                <w:spacing w:val="0"/>
                <w:kern w:val="0"/>
                <w:sz w:val="18"/>
                <w:szCs w:val="18"/>
                <w:lang w:val="en-US" w:eastAsia="zh-CN" w:bidi="ar"/>
              </w:rPr>
              <w:t>9</w:t>
            </w:r>
          </w:p>
        </w:tc>
        <w:tc>
          <w:tcPr>
            <w:tcW w:w="2227" w:type="dxa"/>
            <w:shd w:val="clear" w:color="auto" w:fill="auto"/>
            <w:tcMar>
              <w:top w:w="90" w:type="dxa"/>
              <w:left w:w="150" w:type="dxa"/>
              <w:bottom w:w="90" w:type="dxa"/>
              <w:right w:w="150" w:type="dxa"/>
            </w:tcMar>
            <w:vAlign w:val="top"/>
          </w:tcPr>
          <w:p w14:paraId="630898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sz w:val="18"/>
                <w:szCs w:val="18"/>
              </w:rPr>
            </w:pPr>
            <w:r>
              <w:rPr>
                <w:rFonts w:hint="default" w:ascii="Calibri" w:hAnsi="Calibri" w:eastAsia="Consolas" w:cs="Calibri"/>
                <w:i w:val="0"/>
                <w:iCs w:val="0"/>
                <w:caps w:val="0"/>
                <w:color w:val="auto"/>
                <w:spacing w:val="0"/>
                <w:kern w:val="0"/>
                <w:sz w:val="18"/>
                <w:szCs w:val="18"/>
                <w:lang w:val="en-US" w:eastAsia="zh-CN" w:bidi="ar"/>
              </w:rPr>
              <w:t>hosp/omr.csv.gz</w:t>
            </w:r>
          </w:p>
        </w:tc>
        <w:tc>
          <w:tcPr>
            <w:tcW w:w="4237" w:type="dxa"/>
            <w:shd w:val="clear" w:color="auto" w:fill="auto"/>
            <w:tcMar>
              <w:top w:w="90" w:type="dxa"/>
              <w:left w:w="150" w:type="dxa"/>
              <w:bottom w:w="90" w:type="dxa"/>
              <w:right w:w="150" w:type="dxa"/>
            </w:tcMar>
            <w:vAlign w:val="top"/>
          </w:tcPr>
          <w:p w14:paraId="0B2119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center"/>
              <w:textAlignment w:val="top"/>
              <w:rPr>
                <w:rFonts w:hint="default" w:ascii="Calibri" w:hAnsi="Calibri" w:eastAsia="Segoe UI" w:cs="Calibri"/>
                <w:i w:val="0"/>
                <w:iCs w:val="0"/>
                <w:caps w:val="0"/>
                <w:color w:val="auto"/>
                <w:spacing w:val="0"/>
                <w:kern w:val="0"/>
                <w:sz w:val="18"/>
                <w:szCs w:val="18"/>
                <w:lang w:val="en-US" w:eastAsia="zh-CN" w:bidi="ar"/>
              </w:rPr>
            </w:pPr>
            <w:r>
              <w:rPr>
                <w:rFonts w:hint="default" w:ascii="Calibri" w:hAnsi="Calibri" w:eastAsia="Consolas" w:cs="Calibri"/>
                <w:i w:val="0"/>
                <w:iCs w:val="0"/>
                <w:caps w:val="0"/>
                <w:color w:val="auto"/>
                <w:spacing w:val="0"/>
                <w:kern w:val="0"/>
                <w:sz w:val="18"/>
                <w:szCs w:val="18"/>
                <w:lang w:val="en-US" w:eastAsia="zh-CN" w:bidi="ar"/>
              </w:rPr>
              <w:t>clean.py</w:t>
            </w:r>
            <w:r>
              <w:rPr>
                <w:rFonts w:hint="default" w:ascii="Calibri" w:hAnsi="Calibri" w:eastAsia="Segoe UI" w:cs="Calibri"/>
                <w:i w:val="0"/>
                <w:iCs w:val="0"/>
                <w:caps w:val="0"/>
                <w:color w:val="auto"/>
                <w:spacing w:val="0"/>
                <w:kern w:val="0"/>
                <w:sz w:val="18"/>
                <w:szCs w:val="18"/>
                <w:lang w:val="en-US" w:eastAsia="zh-CN" w:bidi="ar"/>
              </w:rPr>
              <w:t>: outpatient BP, weight, BMI</w:t>
            </w:r>
          </w:p>
        </w:tc>
      </w:tr>
    </w:tbl>
    <w:p w14:paraId="57472492">
      <w:pPr>
        <w:keepNext w:val="0"/>
        <w:keepLines w:val="0"/>
        <w:pageBreakBefore w:val="0"/>
        <w:widowControl/>
        <w:kinsoku/>
        <w:wordWrap/>
        <w:overflowPunct/>
        <w:topLinePunct w:val="0"/>
        <w:autoSpaceDE/>
        <w:autoSpaceDN/>
        <w:bidi w:val="0"/>
        <w:adjustRightInd/>
        <w:snapToGrid/>
        <w:spacing w:before="240" w:after="160" w:line="360" w:lineRule="auto"/>
        <w:ind w:firstLine="720"/>
        <w:textAlignment w:val="auto"/>
        <w:rPr>
          <w:rFonts w:ascii="Times New Roman" w:hAnsi="Times New Roman" w:eastAsia="Times New Roman"/>
          <w:b w:val="0"/>
          <w:i w:val="0"/>
          <w:sz w:val="22"/>
          <w:szCs w:val="22"/>
        </w:rPr>
      </w:pPr>
    </w:p>
    <w:p w14:paraId="7E35A30E">
      <w:pPr>
        <w:keepNext w:val="0"/>
        <w:keepLines w:val="0"/>
        <w:pageBreakBefore w:val="0"/>
        <w:widowControl/>
        <w:kinsoku/>
        <w:wordWrap/>
        <w:overflowPunct/>
        <w:topLinePunct w:val="0"/>
        <w:autoSpaceDE/>
        <w:autoSpaceDN/>
        <w:bidi w:val="0"/>
        <w:adjustRightInd/>
        <w:snapToGrid/>
        <w:spacing w:before="240" w:after="160" w:line="360" w:lineRule="auto"/>
        <w:ind w:firstLine="720"/>
        <w:textAlignment w:val="auto"/>
        <w:rPr>
          <w:rFonts w:ascii="Times New Roman" w:hAnsi="Times New Roman" w:eastAsia="Times New Roman"/>
          <w:b w:val="0"/>
          <w:i w:val="0"/>
          <w:sz w:val="22"/>
          <w:szCs w:val="22"/>
        </w:rPr>
      </w:pPr>
    </w:p>
    <w:p w14:paraId="6969E683">
      <w:pPr>
        <w:keepNext w:val="0"/>
        <w:keepLines w:val="0"/>
        <w:pageBreakBefore w:val="0"/>
        <w:widowControl/>
        <w:kinsoku/>
        <w:wordWrap/>
        <w:overflowPunct/>
        <w:topLinePunct w:val="0"/>
        <w:autoSpaceDE/>
        <w:autoSpaceDN/>
        <w:bidi w:val="0"/>
        <w:adjustRightInd/>
        <w:snapToGrid/>
        <w:spacing w:before="240" w:after="160" w:line="360" w:lineRule="auto"/>
        <w:ind w:firstLine="720"/>
        <w:textAlignment w:val="auto"/>
        <w:rPr>
          <w:rFonts w:ascii="Times New Roman" w:hAnsi="Times New Roman" w:eastAsia="Times New Roman"/>
          <w:b w:val="0"/>
          <w:i w:val="0"/>
          <w:sz w:val="22"/>
          <w:szCs w:val="22"/>
        </w:rPr>
      </w:pPr>
    </w:p>
    <w:p w14:paraId="45F1C71B">
      <w:pPr>
        <w:keepNext w:val="0"/>
        <w:keepLines w:val="0"/>
        <w:pageBreakBefore w:val="0"/>
        <w:widowControl/>
        <w:kinsoku/>
        <w:wordWrap/>
        <w:overflowPunct/>
        <w:topLinePunct w:val="0"/>
        <w:autoSpaceDE/>
        <w:autoSpaceDN/>
        <w:bidi w:val="0"/>
        <w:adjustRightInd/>
        <w:snapToGrid/>
        <w:spacing w:before="240" w:after="160" w:line="360" w:lineRule="auto"/>
        <w:ind w:firstLine="720"/>
        <w:textAlignment w:val="auto"/>
        <w:rPr>
          <w:rFonts w:ascii="Times New Roman" w:hAnsi="Times New Roman" w:eastAsia="Times New Roman"/>
          <w:b w:val="0"/>
          <w:i w:val="0"/>
          <w:sz w:val="22"/>
          <w:szCs w:val="22"/>
        </w:rPr>
      </w:pPr>
    </w:p>
    <w:p w14:paraId="580ED664">
      <w:pPr>
        <w:keepNext w:val="0"/>
        <w:keepLines w:val="0"/>
        <w:pageBreakBefore w:val="0"/>
        <w:widowControl/>
        <w:kinsoku/>
        <w:wordWrap/>
        <w:overflowPunct/>
        <w:topLinePunct w:val="0"/>
        <w:autoSpaceDE/>
        <w:autoSpaceDN/>
        <w:bidi w:val="0"/>
        <w:adjustRightInd/>
        <w:snapToGrid/>
        <w:spacing w:before="240" w:after="160" w:line="360" w:lineRule="auto"/>
        <w:ind w:firstLine="720"/>
        <w:textAlignment w:val="auto"/>
        <w:rPr>
          <w:rFonts w:ascii="Times New Roman" w:hAnsi="Times New Roman" w:eastAsia="Times New Roman"/>
          <w:b w:val="0"/>
          <w:i w:val="0"/>
          <w:sz w:val="22"/>
          <w:szCs w:val="22"/>
        </w:rPr>
      </w:pPr>
    </w:p>
    <w:p w14:paraId="10EB1C95">
      <w:pPr>
        <w:keepNext w:val="0"/>
        <w:keepLines w:val="0"/>
        <w:pageBreakBefore w:val="0"/>
        <w:widowControl/>
        <w:kinsoku/>
        <w:wordWrap/>
        <w:overflowPunct/>
        <w:topLinePunct w:val="0"/>
        <w:autoSpaceDE/>
        <w:autoSpaceDN/>
        <w:bidi w:val="0"/>
        <w:adjustRightInd/>
        <w:snapToGrid/>
        <w:spacing w:before="240" w:after="0" w:line="360" w:lineRule="auto"/>
        <w:ind w:firstLine="720"/>
        <w:textAlignment w:val="auto"/>
        <w:rPr>
          <w:sz w:val="22"/>
          <w:szCs w:val="22"/>
        </w:rPr>
      </w:pPr>
      <w:r>
        <w:rPr>
          <w:rFonts w:ascii="Times New Roman" w:hAnsi="Times New Roman" w:eastAsia="Times New Roman"/>
          <w:b w:val="0"/>
          <w:i w:val="0"/>
          <w:sz w:val="22"/>
          <w:szCs w:val="22"/>
        </w:rPr>
        <w:t>Admissions. Of 546,028 raw admissions, 180 were dropped because discharge time was not after admission time. Eleven death timestamps that preceded admission were set to missing. Forty-seven stays overlapped the previous stay for the same patient; they remain in the table but are not counted as readmissions. There were no duplicate hadm_id values.</w:t>
      </w:r>
    </w:p>
    <w:p w14:paraId="556791C7">
      <w:pPr>
        <w:keepNext w:val="0"/>
        <w:keepLines w:val="0"/>
        <w:pageBreakBefore w:val="0"/>
        <w:widowControl/>
        <w:kinsoku/>
        <w:wordWrap/>
        <w:overflowPunct/>
        <w:topLinePunct w:val="0"/>
        <w:autoSpaceDE/>
        <w:autoSpaceDN/>
        <w:bidi w:val="0"/>
        <w:adjustRightInd/>
        <w:snapToGrid/>
        <w:spacing w:after="0" w:line="360" w:lineRule="auto"/>
        <w:ind w:firstLine="720"/>
        <w:textAlignment w:val="auto"/>
        <w:rPr>
          <w:sz w:val="22"/>
          <w:szCs w:val="22"/>
        </w:rPr>
      </w:pPr>
      <w:r>
        <w:rPr>
          <w:rFonts w:ascii="Times New Roman" w:hAnsi="Times New Roman" w:eastAsia="Times New Roman"/>
          <w:b w:val="0"/>
          <w:i w:val="0"/>
          <w:sz w:val="22"/>
          <w:szCs w:val="22"/>
        </w:rPr>
        <w:t>Transfers. From 2,413,581 raw transfer rows, 408,977 emergency visits without an admission and 546,024 discharge events (not a location) were removed, along with three exact duplicates. No row had out time before in time. ICU entry time from transfers agrees with icustays within one minute for 97.2% of admissions; transfers remain the source of the label because they record the unit sequence on the ward as well.</w:t>
      </w:r>
    </w:p>
    <w:p w14:paraId="1473FF58">
      <w:pPr>
        <w:keepNext w:val="0"/>
        <w:keepLines w:val="0"/>
        <w:pageBreakBefore w:val="0"/>
        <w:widowControl/>
        <w:kinsoku/>
        <w:wordWrap/>
        <w:overflowPunct/>
        <w:topLinePunct w:val="0"/>
        <w:autoSpaceDE/>
        <w:autoSpaceDN/>
        <w:bidi w:val="0"/>
        <w:adjustRightInd/>
        <w:snapToGrid/>
        <w:spacing w:after="0" w:line="360" w:lineRule="auto"/>
        <w:ind w:firstLine="720"/>
        <w:textAlignment w:val="auto"/>
        <w:rPr>
          <w:sz w:val="22"/>
          <w:szCs w:val="22"/>
        </w:rPr>
      </w:pPr>
      <w:r>
        <w:rPr>
          <w:rFonts w:ascii="Times New Roman" w:hAnsi="Times New Roman" w:eastAsia="Times New Roman"/>
          <w:b w:val="0"/>
          <w:i w:val="0"/>
          <w:sz w:val="22"/>
          <w:szCs w:val="22"/>
        </w:rPr>
        <w:t>Laboratories. labevents was streamed in blocks. After restriction to cohort admissions and the 21 configured tests, 12,552,675 rows remained from 158,374,764. Then 54,679 rows without a numeric value (comments such as hemolyzed) were dropped; 39 store times that preceded draw time were reset to draw time; and 318 values outside the plausible ranges in config.yaml were removed as recording or unit errors (glucose 94, magnesium 62, creatinine 58, calcium 48, and smaller counts for other tests). A pH of 70 is an error; a lactate of 15 mmol/L is rare but clinically real and is kept. After 1,306 duplicate results, 12,496,372 lab rows remain. Missingness in the later snapshot table is not a data-entry hole: most wards do not order lactate or blood gas every morning. In the training split, 78.4% of snapshots have no lactate_last and 88.9% have no pCO2_last, while routine chemistries are missing in about 11% of snapshots (Figure 4). Those gaps are informative and are left missing for tree models; logistic regression will receive a training-only median plus a missingness indicator (prepare.py).</w:t>
      </w:r>
    </w:p>
    <w:p w14:paraId="2433D37E">
      <w:pPr>
        <w:keepNext w:val="0"/>
        <w:keepLines w:val="0"/>
        <w:pageBreakBefore w:val="0"/>
        <w:widowControl/>
        <w:kinsoku/>
        <w:wordWrap/>
        <w:overflowPunct/>
        <w:topLinePunct w:val="0"/>
        <w:autoSpaceDE/>
        <w:autoSpaceDN/>
        <w:bidi w:val="0"/>
        <w:adjustRightInd/>
        <w:snapToGrid/>
        <w:spacing w:after="0" w:line="360" w:lineRule="auto"/>
        <w:ind w:firstLine="720"/>
        <w:textAlignment w:val="auto"/>
        <w:rPr>
          <w:sz w:val="22"/>
          <w:szCs w:val="22"/>
        </w:rPr>
      </w:pPr>
      <w:r>
        <w:rPr>
          <w:rFonts w:ascii="Times New Roman" w:hAnsi="Times New Roman" w:eastAsia="Times New Roman"/>
          <w:b w:val="0"/>
          <w:i w:val="0"/>
          <w:sz w:val="22"/>
          <w:szCs w:val="22"/>
        </w:rPr>
        <w:t>Outliers. Age has no IQR outliers in the adult cohort. Lactate_last has 3,160 IQR flags and 1,428 Z-score flags on the training split; these are treated as genuine extremes, not errors, because they lie inside the configured 0.1–35 mmol/L range. Outpatient measurements used the same logic: 2,330 implausible OMR values were dropped (diastolic 1,133, BMI 618, weight 569, systolic 10), while extreme but plausible vitals were kept.</w:t>
      </w:r>
    </w:p>
    <w:p w14:paraId="7BF57164">
      <w:pPr>
        <w:keepNext w:val="0"/>
        <w:keepLines w:val="0"/>
        <w:pageBreakBefore w:val="0"/>
        <w:widowControl/>
        <w:kinsoku/>
        <w:wordWrap/>
        <w:overflowPunct/>
        <w:topLinePunct w:val="0"/>
        <w:autoSpaceDE/>
        <w:autoSpaceDN/>
        <w:bidi w:val="0"/>
        <w:adjustRightInd/>
        <w:snapToGrid/>
        <w:spacing w:after="0" w:line="360" w:lineRule="auto"/>
        <w:ind w:firstLine="720"/>
        <w:textAlignment w:val="auto"/>
        <w:rPr>
          <w:sz w:val="22"/>
          <w:szCs w:val="22"/>
        </w:rPr>
      </w:pPr>
      <w:r>
        <w:rPr>
          <w:rFonts w:ascii="Times New Roman" w:hAnsi="Times New Roman" w:eastAsia="Times New Roman"/>
          <w:b w:val="0"/>
          <w:i w:val="0"/>
          <w:sz w:val="22"/>
          <w:szCs w:val="22"/>
        </w:rPr>
        <w:t>Prescriptions, diagnoses, and services. Prescriptions were restricted to the cohort (6,554,953 rows), then 9,682 orders with missing start time or drug name and 606,938 duplicates were removed, leaving 5,938,333 orders. Drug names were lower-cased and matched to seven classes, including ACE inhibitors (39,640 orders). Diagnoses lost 288 duplicate codes (4,111,743 rows). Services had no duplicates (168,442 rows). Blood-pressure text such as 120/80 was split into systolic and diastolic before range checks.</w:t>
      </w:r>
    </w:p>
    <w:p w14:paraId="1EB1706B">
      <w:pPr>
        <w:keepNext w:val="0"/>
        <w:keepLines w:val="0"/>
        <w:pageBreakBefore w:val="0"/>
        <w:widowControl/>
        <w:kinsoku/>
        <w:wordWrap/>
        <w:overflowPunct/>
        <w:topLinePunct w:val="0"/>
        <w:autoSpaceDE/>
        <w:autoSpaceDN/>
        <w:bidi w:val="0"/>
        <w:adjustRightInd/>
        <w:snapToGrid/>
        <w:spacing w:after="0" w:line="360" w:lineRule="auto"/>
        <w:ind w:firstLine="720"/>
        <w:textAlignment w:val="auto"/>
        <w:rPr>
          <w:rFonts w:ascii="Times New Roman" w:hAnsi="Times New Roman" w:eastAsia="Times New Roman"/>
          <w:b w:val="0"/>
          <w:i w:val="0"/>
          <w:sz w:val="22"/>
          <w:szCs w:val="22"/>
        </w:rPr>
      </w:pPr>
      <w:r>
        <w:rPr>
          <w:rFonts w:ascii="Times New Roman" w:hAnsi="Times New Roman" w:eastAsia="Times New Roman"/>
          <w:b w:val="0"/>
          <w:i w:val="0"/>
          <w:sz w:val="22"/>
          <w:szCs w:val="22"/>
        </w:rPr>
        <w:t>Encoding. Four categoricals stay as pandas categories whose levels are taken from the training split: admission_type, admission_location, careunit, and curr_service. LightGBM can split on them directly. For logistic regression, prepare.py one-hot encodes them with infrequent levels (under 0.1% of training rows) collapsed, and never uses the test split to define levels. gender_male is already a 0/1 indicator. Comorbidity flags and prior-ICU are 0/1 from earlier discharges only.</w:t>
      </w:r>
    </w:p>
    <w:p w14:paraId="192FF8F9">
      <w:pPr>
        <w:keepNext w:val="0"/>
        <w:keepLines w:val="0"/>
        <w:pageBreakBefore w:val="0"/>
        <w:widowControl/>
        <w:kinsoku/>
        <w:wordWrap/>
        <w:overflowPunct/>
        <w:topLinePunct w:val="0"/>
        <w:autoSpaceDE/>
        <w:autoSpaceDN/>
        <w:bidi w:val="0"/>
        <w:adjustRightInd/>
        <w:snapToGrid/>
        <w:spacing w:after="0" w:line="360" w:lineRule="auto"/>
        <w:ind w:firstLine="720"/>
        <w:textAlignment w:val="auto"/>
        <w:rPr>
          <w:rFonts w:ascii="Times New Roman" w:hAnsi="Times New Roman" w:eastAsia="Times New Roman"/>
          <w:b w:val="0"/>
          <w:i w:val="0"/>
          <w:sz w:val="22"/>
          <w:szCs w:val="22"/>
        </w:rPr>
      </w:pPr>
    </w:p>
    <w:p w14:paraId="51C8705B">
      <w:pPr>
        <w:keepNext w:val="0"/>
        <w:keepLines w:val="0"/>
        <w:pageBreakBefore w:val="0"/>
        <w:widowControl/>
        <w:kinsoku/>
        <w:wordWrap/>
        <w:overflowPunct/>
        <w:topLinePunct w:val="0"/>
        <w:autoSpaceDE/>
        <w:autoSpaceDN/>
        <w:bidi w:val="0"/>
        <w:adjustRightInd/>
        <w:snapToGrid/>
        <w:spacing w:after="0" w:line="360" w:lineRule="auto"/>
        <w:ind w:firstLine="720"/>
        <w:textAlignment w:val="auto"/>
        <w:rPr>
          <w:rFonts w:ascii="Times New Roman" w:hAnsi="Times New Roman" w:eastAsia="Times New Roman"/>
          <w:b w:val="0"/>
          <w:i w:val="0"/>
          <w:sz w:val="22"/>
          <w:szCs w:val="22"/>
        </w:rPr>
      </w:pPr>
    </w:p>
    <w:tbl>
      <w:tblPr>
        <w:tblStyle w:val="12"/>
        <w:tblW w:w="9316" w:type="dxa"/>
        <w:tblCellSpacing w:w="15" w:type="dxa"/>
        <w:tblInd w:w="2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Layout w:type="fixed"/>
        <w:tblCellMar>
          <w:top w:w="15" w:type="dxa"/>
          <w:left w:w="15" w:type="dxa"/>
          <w:bottom w:w="15" w:type="dxa"/>
          <w:right w:w="15" w:type="dxa"/>
        </w:tblCellMar>
      </w:tblPr>
      <w:tblGrid>
        <w:gridCol w:w="1364"/>
        <w:gridCol w:w="2083"/>
        <w:gridCol w:w="1475"/>
        <w:gridCol w:w="2196"/>
        <w:gridCol w:w="2198"/>
      </w:tblGrid>
      <w:tr w14:paraId="0C4AA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19" w:type="dxa"/>
            <w:shd w:val="clear" w:color="auto" w:fill="auto"/>
            <w:noWrap/>
            <w:tcMar>
              <w:top w:w="90" w:type="dxa"/>
              <w:left w:w="150" w:type="dxa"/>
              <w:bottom w:w="90" w:type="dxa"/>
              <w:right w:w="150" w:type="dxa"/>
            </w:tcMar>
            <w:vAlign w:val="top"/>
          </w:tcPr>
          <w:p w14:paraId="4618E058">
            <w:pPr>
              <w:keepNext w:val="0"/>
              <w:keepLines w:val="0"/>
              <w:pageBreakBefore w:val="0"/>
              <w:widowControl/>
              <w:suppressLineNumbers w:val="0"/>
              <w:kinsoku/>
              <w:wordWrap/>
              <w:overflowPunct/>
              <w:topLinePunct w:val="0"/>
              <w:autoSpaceDE/>
              <w:autoSpaceDN/>
              <w:bidi w:val="0"/>
              <w:adjustRightInd/>
              <w:snapToGrid/>
              <w:jc w:val="left"/>
              <w:textAlignment w:val="top"/>
              <w:rPr>
                <w:rFonts w:hint="default" w:ascii="Times New Roman" w:hAnsi="Times New Roman" w:eastAsia="Segoe UI" w:cs="Times New Roman"/>
                <w:b/>
                <w:bCs/>
                <w:i w:val="0"/>
                <w:iCs w:val="0"/>
                <w:caps w:val="0"/>
                <w:color w:val="auto"/>
                <w:spacing w:val="0"/>
                <w:sz w:val="16"/>
                <w:szCs w:val="16"/>
                <w:lang w:val="vi-VN"/>
              </w:rPr>
            </w:pPr>
            <w:r>
              <w:rPr>
                <w:rFonts w:hint="default" w:ascii="Times New Roman" w:hAnsi="Times New Roman" w:eastAsia="Segoe UI" w:cs="Times New Roman"/>
                <w:b/>
                <w:bCs/>
                <w:i w:val="0"/>
                <w:iCs w:val="0"/>
                <w:caps w:val="0"/>
                <w:color w:val="auto"/>
                <w:spacing w:val="0"/>
                <w:kern w:val="0"/>
                <w:sz w:val="16"/>
                <w:szCs w:val="16"/>
                <w:lang w:val="vi-VN" w:eastAsia="zh-CN" w:bidi="ar"/>
              </w:rPr>
              <w:t>Meaning</w:t>
            </w:r>
          </w:p>
        </w:tc>
        <w:tc>
          <w:tcPr>
            <w:tcW w:w="2053" w:type="dxa"/>
            <w:shd w:val="clear" w:color="auto" w:fill="auto"/>
            <w:noWrap/>
            <w:tcMar>
              <w:top w:w="90" w:type="dxa"/>
              <w:left w:w="150" w:type="dxa"/>
              <w:bottom w:w="90" w:type="dxa"/>
              <w:right w:w="150" w:type="dxa"/>
            </w:tcMar>
            <w:vAlign w:val="top"/>
          </w:tcPr>
          <w:p w14:paraId="7A4183E0">
            <w:pPr>
              <w:keepNext w:val="0"/>
              <w:keepLines w:val="0"/>
              <w:pageBreakBefore w:val="0"/>
              <w:widowControl/>
              <w:suppressLineNumbers w:val="0"/>
              <w:kinsoku/>
              <w:wordWrap/>
              <w:overflowPunct/>
              <w:topLinePunct w:val="0"/>
              <w:autoSpaceDE/>
              <w:autoSpaceDN/>
              <w:bidi w:val="0"/>
              <w:adjustRightInd/>
              <w:snapToGrid/>
              <w:jc w:val="left"/>
              <w:textAlignment w:val="top"/>
              <w:rPr>
                <w:rFonts w:hint="default" w:ascii="Times New Roman" w:hAnsi="Times New Roman" w:eastAsia="Segoe UI" w:cs="Times New Roman"/>
                <w:b/>
                <w:bCs/>
                <w:i w:val="0"/>
                <w:iCs w:val="0"/>
                <w:caps w:val="0"/>
                <w:color w:val="auto"/>
                <w:spacing w:val="0"/>
                <w:sz w:val="16"/>
                <w:szCs w:val="16"/>
              </w:rPr>
            </w:pPr>
            <w:r>
              <w:rPr>
                <w:rFonts w:hint="default" w:ascii="Times New Roman" w:hAnsi="Times New Roman" w:eastAsia="Segoe UI" w:cs="Times New Roman"/>
                <w:b/>
                <w:bCs/>
                <w:i w:val="0"/>
                <w:iCs w:val="0"/>
                <w:caps w:val="0"/>
                <w:color w:val="auto"/>
                <w:spacing w:val="0"/>
                <w:kern w:val="0"/>
                <w:sz w:val="16"/>
                <w:szCs w:val="16"/>
                <w:lang w:val="en-US" w:eastAsia="zh-CN" w:bidi="ar"/>
              </w:rPr>
              <w:t>Features</w:t>
            </w:r>
          </w:p>
        </w:tc>
        <w:tc>
          <w:tcPr>
            <w:tcW w:w="1445" w:type="dxa"/>
            <w:shd w:val="clear" w:color="auto" w:fill="auto"/>
            <w:noWrap/>
            <w:tcMar>
              <w:top w:w="90" w:type="dxa"/>
              <w:left w:w="150" w:type="dxa"/>
              <w:bottom w:w="90" w:type="dxa"/>
              <w:right w:w="150" w:type="dxa"/>
            </w:tcMar>
            <w:vAlign w:val="top"/>
          </w:tcPr>
          <w:p w14:paraId="6A8801CD">
            <w:pPr>
              <w:keepNext w:val="0"/>
              <w:keepLines w:val="0"/>
              <w:pageBreakBefore w:val="0"/>
              <w:widowControl/>
              <w:suppressLineNumbers w:val="0"/>
              <w:kinsoku/>
              <w:wordWrap/>
              <w:overflowPunct/>
              <w:topLinePunct w:val="0"/>
              <w:autoSpaceDE/>
              <w:autoSpaceDN/>
              <w:bidi w:val="0"/>
              <w:adjustRightInd/>
              <w:snapToGrid/>
              <w:jc w:val="left"/>
              <w:textAlignment w:val="top"/>
              <w:rPr>
                <w:rFonts w:hint="default" w:ascii="Times New Roman" w:hAnsi="Times New Roman" w:eastAsia="Segoe UI" w:cs="Times New Roman"/>
                <w:b/>
                <w:bCs/>
                <w:i w:val="0"/>
                <w:iCs w:val="0"/>
                <w:caps w:val="0"/>
                <w:color w:val="auto"/>
                <w:spacing w:val="0"/>
                <w:sz w:val="16"/>
                <w:szCs w:val="16"/>
              </w:rPr>
            </w:pPr>
            <w:r>
              <w:rPr>
                <w:rFonts w:hint="default" w:ascii="Times New Roman" w:hAnsi="Times New Roman" w:eastAsia="Segoe UI" w:cs="Times New Roman"/>
                <w:b/>
                <w:bCs/>
                <w:i w:val="0"/>
                <w:iCs w:val="0"/>
                <w:caps w:val="0"/>
                <w:color w:val="auto"/>
                <w:spacing w:val="0"/>
                <w:kern w:val="0"/>
                <w:sz w:val="16"/>
                <w:szCs w:val="16"/>
                <w:lang w:val="en-US" w:eastAsia="zh-CN" w:bidi="ar"/>
              </w:rPr>
              <w:t>Source and join</w:t>
            </w:r>
          </w:p>
        </w:tc>
        <w:tc>
          <w:tcPr>
            <w:tcW w:w="2166" w:type="dxa"/>
            <w:shd w:val="clear" w:color="auto" w:fill="auto"/>
            <w:noWrap/>
            <w:tcMar>
              <w:top w:w="90" w:type="dxa"/>
              <w:left w:w="150" w:type="dxa"/>
              <w:bottom w:w="90" w:type="dxa"/>
              <w:right w:w="150" w:type="dxa"/>
            </w:tcMar>
            <w:vAlign w:val="top"/>
          </w:tcPr>
          <w:p w14:paraId="505465C3">
            <w:pPr>
              <w:keepNext w:val="0"/>
              <w:keepLines w:val="0"/>
              <w:pageBreakBefore w:val="0"/>
              <w:widowControl/>
              <w:suppressLineNumbers w:val="0"/>
              <w:kinsoku/>
              <w:wordWrap/>
              <w:overflowPunct/>
              <w:topLinePunct w:val="0"/>
              <w:autoSpaceDE/>
              <w:autoSpaceDN/>
              <w:bidi w:val="0"/>
              <w:adjustRightInd/>
              <w:snapToGrid/>
              <w:jc w:val="left"/>
              <w:textAlignment w:val="top"/>
              <w:rPr>
                <w:rFonts w:hint="default" w:ascii="Times New Roman" w:hAnsi="Times New Roman" w:eastAsia="Segoe UI" w:cs="Times New Roman"/>
                <w:b/>
                <w:bCs/>
                <w:i w:val="0"/>
                <w:iCs w:val="0"/>
                <w:caps w:val="0"/>
                <w:color w:val="auto"/>
                <w:spacing w:val="0"/>
                <w:sz w:val="16"/>
                <w:szCs w:val="16"/>
              </w:rPr>
            </w:pPr>
            <w:r>
              <w:rPr>
                <w:rFonts w:hint="default" w:ascii="Times New Roman" w:hAnsi="Times New Roman" w:eastAsia="Segoe UI" w:cs="Times New Roman"/>
                <w:b/>
                <w:bCs/>
                <w:i w:val="0"/>
                <w:iCs w:val="0"/>
                <w:caps w:val="0"/>
                <w:color w:val="auto"/>
                <w:spacing w:val="0"/>
                <w:kern w:val="0"/>
                <w:sz w:val="16"/>
                <w:szCs w:val="16"/>
                <w:lang w:val="en-US" w:eastAsia="zh-CN" w:bidi="ar"/>
              </w:rPr>
              <w:t>Why it predicts ICU transfer</w:t>
            </w:r>
          </w:p>
        </w:tc>
        <w:tc>
          <w:tcPr>
            <w:tcW w:w="2153" w:type="dxa"/>
            <w:shd w:val="clear" w:color="auto" w:fill="auto"/>
            <w:noWrap/>
            <w:tcMar>
              <w:top w:w="90" w:type="dxa"/>
              <w:left w:w="150" w:type="dxa"/>
              <w:bottom w:w="90" w:type="dxa"/>
              <w:right w:w="150" w:type="dxa"/>
            </w:tcMar>
            <w:vAlign w:val="top"/>
          </w:tcPr>
          <w:p w14:paraId="0EA09354">
            <w:pPr>
              <w:keepNext w:val="0"/>
              <w:keepLines w:val="0"/>
              <w:pageBreakBefore w:val="0"/>
              <w:widowControl/>
              <w:suppressLineNumbers w:val="0"/>
              <w:kinsoku/>
              <w:wordWrap/>
              <w:overflowPunct/>
              <w:topLinePunct w:val="0"/>
              <w:autoSpaceDE/>
              <w:autoSpaceDN/>
              <w:bidi w:val="0"/>
              <w:adjustRightInd/>
              <w:snapToGrid/>
              <w:jc w:val="left"/>
              <w:textAlignment w:val="top"/>
              <w:rPr>
                <w:rFonts w:hint="default" w:ascii="Times New Roman" w:hAnsi="Times New Roman" w:eastAsia="Segoe UI" w:cs="Times New Roman"/>
                <w:b/>
                <w:bCs/>
                <w:i w:val="0"/>
                <w:iCs w:val="0"/>
                <w:caps w:val="0"/>
                <w:color w:val="auto"/>
                <w:spacing w:val="0"/>
                <w:sz w:val="16"/>
                <w:szCs w:val="16"/>
              </w:rPr>
            </w:pPr>
            <w:r>
              <w:rPr>
                <w:rFonts w:hint="default" w:ascii="Times New Roman" w:hAnsi="Times New Roman" w:eastAsia="Segoe UI" w:cs="Times New Roman"/>
                <w:b/>
                <w:bCs/>
                <w:i w:val="0"/>
                <w:iCs w:val="0"/>
                <w:caps w:val="0"/>
                <w:color w:val="auto"/>
                <w:spacing w:val="0"/>
                <w:kern w:val="0"/>
                <w:sz w:val="16"/>
                <w:szCs w:val="16"/>
                <w:lang w:val="en-US" w:eastAsia="zh-CN" w:bidi="ar"/>
              </w:rPr>
              <w:t>Known at prediction time because</w:t>
            </w:r>
          </w:p>
        </w:tc>
      </w:tr>
      <w:tr w14:paraId="29D79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319" w:type="dxa"/>
            <w:shd w:val="clear" w:color="auto" w:fill="auto"/>
            <w:tcMar>
              <w:top w:w="90" w:type="dxa"/>
              <w:left w:w="150" w:type="dxa"/>
              <w:bottom w:w="90" w:type="dxa"/>
              <w:right w:w="150" w:type="dxa"/>
            </w:tcMar>
            <w:vAlign w:val="top"/>
          </w:tcPr>
          <w:p w14:paraId="503F48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Demographics, admission</w:t>
            </w:r>
          </w:p>
        </w:tc>
        <w:tc>
          <w:tcPr>
            <w:tcW w:w="2053" w:type="dxa"/>
            <w:shd w:val="clear" w:color="auto" w:fill="auto"/>
            <w:tcMar>
              <w:top w:w="90" w:type="dxa"/>
              <w:left w:w="150" w:type="dxa"/>
              <w:bottom w:w="90" w:type="dxa"/>
              <w:right w:w="150" w:type="dxa"/>
            </w:tcMar>
            <w:vAlign w:val="top"/>
          </w:tcPr>
          <w:p w14:paraId="72E21C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age, sex, admission type and location, ward unit, hours since admission, days since previous discharge</w:t>
            </w:r>
          </w:p>
        </w:tc>
        <w:tc>
          <w:tcPr>
            <w:tcW w:w="1445" w:type="dxa"/>
            <w:shd w:val="clear" w:color="auto" w:fill="auto"/>
            <w:tcMar>
              <w:top w:w="90" w:type="dxa"/>
              <w:left w:w="150" w:type="dxa"/>
              <w:bottom w:w="90" w:type="dxa"/>
              <w:right w:w="150" w:type="dxa"/>
            </w:tcMar>
            <w:vAlign w:val="top"/>
          </w:tcPr>
          <w:p w14:paraId="6132DD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admissions, patients, transfers</w:t>
            </w:r>
          </w:p>
        </w:tc>
        <w:tc>
          <w:tcPr>
            <w:tcW w:w="2166" w:type="dxa"/>
            <w:shd w:val="clear" w:color="auto" w:fill="auto"/>
            <w:tcMar>
              <w:top w:w="90" w:type="dxa"/>
              <w:left w:w="150" w:type="dxa"/>
              <w:bottom w:w="90" w:type="dxa"/>
              <w:right w:w="150" w:type="dxa"/>
            </w:tcMar>
            <w:vAlign w:val="top"/>
          </w:tcPr>
          <w:p w14:paraId="4C1652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Older patients and some units (cardiology, transplant) carry more risk; risk changes over the stay (Figure 6)</w:t>
            </w:r>
          </w:p>
        </w:tc>
        <w:tc>
          <w:tcPr>
            <w:tcW w:w="2153" w:type="dxa"/>
            <w:shd w:val="clear" w:color="auto" w:fill="auto"/>
            <w:tcMar>
              <w:top w:w="90" w:type="dxa"/>
              <w:left w:w="150" w:type="dxa"/>
              <w:bottom w:w="90" w:type="dxa"/>
              <w:right w:w="150" w:type="dxa"/>
            </w:tcMar>
            <w:vAlign w:val="top"/>
          </w:tcPr>
          <w:p w14:paraId="0B8F81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Recorded at admission or at the snapshot</w:t>
            </w:r>
          </w:p>
        </w:tc>
      </w:tr>
      <w:tr w14:paraId="631C8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319" w:type="dxa"/>
            <w:shd w:val="clear" w:color="auto" w:fill="auto"/>
            <w:tcMar>
              <w:top w:w="90" w:type="dxa"/>
              <w:left w:w="150" w:type="dxa"/>
              <w:bottom w:w="90" w:type="dxa"/>
              <w:right w:w="150" w:type="dxa"/>
            </w:tcMar>
            <w:vAlign w:val="top"/>
          </w:tcPr>
          <w:p w14:paraId="59EB98A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History</w:t>
            </w:r>
          </w:p>
        </w:tc>
        <w:tc>
          <w:tcPr>
            <w:tcW w:w="2053" w:type="dxa"/>
            <w:shd w:val="clear" w:color="auto" w:fill="auto"/>
            <w:tcMar>
              <w:top w:w="90" w:type="dxa"/>
              <w:left w:w="150" w:type="dxa"/>
              <w:bottom w:w="90" w:type="dxa"/>
              <w:right w:w="150" w:type="dxa"/>
            </w:tcMar>
            <w:vAlign w:val="top"/>
          </w:tcPr>
          <w:p w14:paraId="657088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prior admissions (total, last 365 days), prior ICU stay, length of previous stay</w:t>
            </w:r>
          </w:p>
        </w:tc>
        <w:tc>
          <w:tcPr>
            <w:tcW w:w="1445" w:type="dxa"/>
            <w:shd w:val="clear" w:color="auto" w:fill="auto"/>
            <w:tcMar>
              <w:top w:w="90" w:type="dxa"/>
              <w:left w:w="150" w:type="dxa"/>
              <w:bottom w:w="90" w:type="dxa"/>
              <w:right w:w="150" w:type="dxa"/>
            </w:tcMar>
            <w:vAlign w:val="top"/>
          </w:tcPr>
          <w:p w14:paraId="0B58E80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admissions by </w:t>
            </w:r>
            <w:r>
              <w:rPr>
                <w:rStyle w:val="20"/>
                <w:rFonts w:hint="default" w:ascii="Times New Roman" w:hAnsi="Times New Roman" w:eastAsia="Consolas" w:cs="Times New Roman"/>
                <w:i w:val="0"/>
                <w:iCs w:val="0"/>
                <w:caps w:val="0"/>
                <w:color w:val="auto"/>
                <w:spacing w:val="0"/>
                <w:kern w:val="0"/>
                <w:sz w:val="16"/>
                <w:szCs w:val="16"/>
                <w:lang w:val="en-US" w:eastAsia="zh-CN" w:bidi="ar"/>
              </w:rPr>
              <w:t>subject_id</w:t>
            </w:r>
          </w:p>
        </w:tc>
        <w:tc>
          <w:tcPr>
            <w:tcW w:w="2166" w:type="dxa"/>
            <w:shd w:val="clear" w:color="auto" w:fill="auto"/>
            <w:tcMar>
              <w:top w:w="90" w:type="dxa"/>
              <w:left w:w="150" w:type="dxa"/>
              <w:bottom w:w="90" w:type="dxa"/>
              <w:right w:w="150" w:type="dxa"/>
            </w:tcMar>
            <w:vAlign w:val="top"/>
          </w:tcPr>
          <w:p w14:paraId="791231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Frequent and recent admissions mark fragile patients</w:t>
            </w:r>
          </w:p>
        </w:tc>
        <w:tc>
          <w:tcPr>
            <w:tcW w:w="2153" w:type="dxa"/>
            <w:shd w:val="clear" w:color="auto" w:fill="auto"/>
            <w:tcMar>
              <w:top w:w="90" w:type="dxa"/>
              <w:left w:w="150" w:type="dxa"/>
              <w:bottom w:w="90" w:type="dxa"/>
              <w:right w:w="150" w:type="dxa"/>
            </w:tcMar>
            <w:vAlign w:val="top"/>
          </w:tcPr>
          <w:p w14:paraId="56C9E9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Only admissions discharged before this one</w:t>
            </w:r>
          </w:p>
        </w:tc>
      </w:tr>
      <w:tr w14:paraId="25419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319" w:type="dxa"/>
            <w:shd w:val="clear" w:color="auto" w:fill="auto"/>
            <w:tcMar>
              <w:top w:w="90" w:type="dxa"/>
              <w:left w:w="150" w:type="dxa"/>
              <w:bottom w:w="90" w:type="dxa"/>
              <w:right w:w="150" w:type="dxa"/>
            </w:tcMar>
            <w:vAlign w:val="top"/>
          </w:tcPr>
          <w:p w14:paraId="1DB8D0A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Comorbidities</w:t>
            </w:r>
          </w:p>
        </w:tc>
        <w:tc>
          <w:tcPr>
            <w:tcW w:w="2053" w:type="dxa"/>
            <w:shd w:val="clear" w:color="auto" w:fill="auto"/>
            <w:tcMar>
              <w:top w:w="90" w:type="dxa"/>
              <w:left w:w="150" w:type="dxa"/>
              <w:bottom w:w="90" w:type="dxa"/>
              <w:right w:w="150" w:type="dxa"/>
            </w:tcMar>
            <w:vAlign w:val="top"/>
          </w:tcPr>
          <w:p w14:paraId="14AE50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heart failure, COPD, chronic kidney disease, diabetes, cancer, liver disease, sepsis</w:t>
            </w:r>
          </w:p>
        </w:tc>
        <w:tc>
          <w:tcPr>
            <w:tcW w:w="1445" w:type="dxa"/>
            <w:shd w:val="clear" w:color="auto" w:fill="auto"/>
            <w:tcMar>
              <w:top w:w="90" w:type="dxa"/>
              <w:left w:w="150" w:type="dxa"/>
              <w:bottom w:w="90" w:type="dxa"/>
              <w:right w:w="150" w:type="dxa"/>
            </w:tcMar>
            <w:vAlign w:val="top"/>
          </w:tcPr>
          <w:p w14:paraId="6764F0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Style w:val="20"/>
                <w:rFonts w:hint="default" w:ascii="Times New Roman" w:hAnsi="Times New Roman" w:eastAsia="Consolas" w:cs="Times New Roman"/>
                <w:i w:val="0"/>
                <w:iCs w:val="0"/>
                <w:caps w:val="0"/>
                <w:color w:val="auto"/>
                <w:spacing w:val="0"/>
                <w:kern w:val="0"/>
                <w:sz w:val="16"/>
                <w:szCs w:val="16"/>
                <w:lang w:val="en-US" w:eastAsia="zh-CN" w:bidi="ar"/>
              </w:rPr>
              <w:t>diagnoses_icd</w:t>
            </w:r>
            <w:r>
              <w:rPr>
                <w:rFonts w:hint="default" w:ascii="Times New Roman" w:hAnsi="Times New Roman" w:eastAsia="Segoe UI" w:cs="Times New Roman"/>
                <w:i w:val="0"/>
                <w:iCs w:val="0"/>
                <w:caps w:val="0"/>
                <w:color w:val="auto"/>
                <w:spacing w:val="0"/>
                <w:kern w:val="0"/>
                <w:sz w:val="16"/>
                <w:szCs w:val="16"/>
                <w:lang w:val="en-US" w:eastAsia="zh-CN" w:bidi="ar"/>
              </w:rPr>
              <w:t> by </w:t>
            </w:r>
            <w:r>
              <w:rPr>
                <w:rStyle w:val="20"/>
                <w:rFonts w:hint="default" w:ascii="Times New Roman" w:hAnsi="Times New Roman" w:eastAsia="Consolas" w:cs="Times New Roman"/>
                <w:i w:val="0"/>
                <w:iCs w:val="0"/>
                <w:caps w:val="0"/>
                <w:color w:val="auto"/>
                <w:spacing w:val="0"/>
                <w:kern w:val="0"/>
                <w:sz w:val="16"/>
                <w:szCs w:val="16"/>
                <w:lang w:val="en-US" w:eastAsia="zh-CN" w:bidi="ar"/>
              </w:rPr>
              <w:t>subject_id</w:t>
            </w:r>
          </w:p>
        </w:tc>
        <w:tc>
          <w:tcPr>
            <w:tcW w:w="2166" w:type="dxa"/>
            <w:shd w:val="clear" w:color="auto" w:fill="auto"/>
            <w:tcMar>
              <w:top w:w="90" w:type="dxa"/>
              <w:left w:w="150" w:type="dxa"/>
              <w:bottom w:w="90" w:type="dxa"/>
              <w:right w:w="150" w:type="dxa"/>
            </w:tcMar>
            <w:vAlign w:val="top"/>
          </w:tcPr>
          <w:p w14:paraId="7CC442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Chronic disease raises the chance of decompensation</w:t>
            </w:r>
          </w:p>
        </w:tc>
        <w:tc>
          <w:tcPr>
            <w:tcW w:w="2153" w:type="dxa"/>
            <w:shd w:val="clear" w:color="auto" w:fill="auto"/>
            <w:tcMar>
              <w:top w:w="90" w:type="dxa"/>
              <w:left w:w="150" w:type="dxa"/>
              <w:bottom w:w="90" w:type="dxa"/>
              <w:right w:w="150" w:type="dxa"/>
            </w:tcMar>
            <w:vAlign w:val="top"/>
          </w:tcPr>
          <w:p w14:paraId="767DB3E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Only diagnoses from earlier discharges</w:t>
            </w:r>
          </w:p>
        </w:tc>
      </w:tr>
      <w:tr w14:paraId="4DD15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319" w:type="dxa"/>
            <w:shd w:val="clear" w:color="auto" w:fill="auto"/>
            <w:tcMar>
              <w:top w:w="90" w:type="dxa"/>
              <w:left w:w="150" w:type="dxa"/>
              <w:bottom w:w="90" w:type="dxa"/>
              <w:right w:w="150" w:type="dxa"/>
            </w:tcMar>
            <w:vAlign w:val="top"/>
          </w:tcPr>
          <w:p w14:paraId="18AAE3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Outpatient</w:t>
            </w:r>
          </w:p>
        </w:tc>
        <w:tc>
          <w:tcPr>
            <w:tcW w:w="2053" w:type="dxa"/>
            <w:shd w:val="clear" w:color="auto" w:fill="auto"/>
            <w:tcMar>
              <w:top w:w="90" w:type="dxa"/>
              <w:left w:w="150" w:type="dxa"/>
              <w:bottom w:w="90" w:type="dxa"/>
              <w:right w:w="150" w:type="dxa"/>
            </w:tcMar>
            <w:vAlign w:val="top"/>
          </w:tcPr>
          <w:p w14:paraId="7D5E70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systolic and diastolic BP, weight, BMI</w:t>
            </w:r>
          </w:p>
        </w:tc>
        <w:tc>
          <w:tcPr>
            <w:tcW w:w="1445" w:type="dxa"/>
            <w:shd w:val="clear" w:color="auto" w:fill="auto"/>
            <w:tcMar>
              <w:top w:w="90" w:type="dxa"/>
              <w:left w:w="150" w:type="dxa"/>
              <w:bottom w:w="90" w:type="dxa"/>
              <w:right w:w="150" w:type="dxa"/>
            </w:tcMar>
            <w:vAlign w:val="top"/>
          </w:tcPr>
          <w:p w14:paraId="5B60D9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Style w:val="20"/>
                <w:rFonts w:hint="default" w:ascii="Times New Roman" w:hAnsi="Times New Roman" w:eastAsia="Consolas" w:cs="Times New Roman"/>
                <w:i w:val="0"/>
                <w:iCs w:val="0"/>
                <w:caps w:val="0"/>
                <w:color w:val="auto"/>
                <w:spacing w:val="0"/>
                <w:kern w:val="0"/>
                <w:sz w:val="16"/>
                <w:szCs w:val="16"/>
                <w:lang w:val="en-US" w:eastAsia="zh-CN" w:bidi="ar"/>
              </w:rPr>
              <w:t>omr</w:t>
            </w:r>
            <w:r>
              <w:rPr>
                <w:rFonts w:hint="default" w:ascii="Times New Roman" w:hAnsi="Times New Roman" w:eastAsia="Segoe UI" w:cs="Times New Roman"/>
                <w:i w:val="0"/>
                <w:iCs w:val="0"/>
                <w:caps w:val="0"/>
                <w:color w:val="auto"/>
                <w:spacing w:val="0"/>
                <w:kern w:val="0"/>
                <w:sz w:val="16"/>
                <w:szCs w:val="16"/>
                <w:lang w:val="en-US" w:eastAsia="zh-CN" w:bidi="ar"/>
              </w:rPr>
              <w:t> by </w:t>
            </w:r>
            <w:r>
              <w:rPr>
                <w:rStyle w:val="20"/>
                <w:rFonts w:hint="default" w:ascii="Times New Roman" w:hAnsi="Times New Roman" w:eastAsia="Consolas" w:cs="Times New Roman"/>
                <w:i w:val="0"/>
                <w:iCs w:val="0"/>
                <w:caps w:val="0"/>
                <w:color w:val="auto"/>
                <w:spacing w:val="0"/>
                <w:kern w:val="0"/>
                <w:sz w:val="16"/>
                <w:szCs w:val="16"/>
                <w:lang w:val="en-US" w:eastAsia="zh-CN" w:bidi="ar"/>
              </w:rPr>
              <w:t>subject_id</w:t>
            </w:r>
          </w:p>
        </w:tc>
        <w:tc>
          <w:tcPr>
            <w:tcW w:w="2166" w:type="dxa"/>
            <w:shd w:val="clear" w:color="auto" w:fill="auto"/>
            <w:tcMar>
              <w:top w:w="90" w:type="dxa"/>
              <w:left w:w="150" w:type="dxa"/>
              <w:bottom w:w="90" w:type="dxa"/>
              <w:right w:w="150" w:type="dxa"/>
            </w:tcMar>
            <w:vAlign w:val="top"/>
          </w:tcPr>
          <w:p w14:paraId="17514C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Baseline health status</w:t>
            </w:r>
          </w:p>
        </w:tc>
        <w:tc>
          <w:tcPr>
            <w:tcW w:w="2153" w:type="dxa"/>
            <w:shd w:val="clear" w:color="auto" w:fill="auto"/>
            <w:tcMar>
              <w:top w:w="90" w:type="dxa"/>
              <w:left w:w="150" w:type="dxa"/>
              <w:bottom w:w="90" w:type="dxa"/>
              <w:right w:w="150" w:type="dxa"/>
            </w:tcMar>
            <w:vAlign w:val="top"/>
          </w:tcPr>
          <w:p w14:paraId="05AACC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Measured before the admission day</w:t>
            </w:r>
          </w:p>
        </w:tc>
      </w:tr>
      <w:tr w14:paraId="224AD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319" w:type="dxa"/>
            <w:shd w:val="clear" w:color="auto" w:fill="auto"/>
            <w:tcMar>
              <w:top w:w="90" w:type="dxa"/>
              <w:left w:w="150" w:type="dxa"/>
              <w:bottom w:w="90" w:type="dxa"/>
              <w:right w:w="150" w:type="dxa"/>
            </w:tcMar>
            <w:vAlign w:val="top"/>
          </w:tcPr>
          <w:p w14:paraId="4F96A6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Service</w:t>
            </w:r>
          </w:p>
        </w:tc>
        <w:tc>
          <w:tcPr>
            <w:tcW w:w="2053" w:type="dxa"/>
            <w:shd w:val="clear" w:color="auto" w:fill="auto"/>
            <w:tcMar>
              <w:top w:w="90" w:type="dxa"/>
              <w:left w:w="150" w:type="dxa"/>
              <w:bottom w:w="90" w:type="dxa"/>
              <w:right w:w="150" w:type="dxa"/>
            </w:tcMar>
            <w:vAlign w:val="top"/>
          </w:tcPr>
          <w:p w14:paraId="6954CE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current service</w:t>
            </w:r>
          </w:p>
        </w:tc>
        <w:tc>
          <w:tcPr>
            <w:tcW w:w="1445" w:type="dxa"/>
            <w:shd w:val="clear" w:color="auto" w:fill="auto"/>
            <w:tcMar>
              <w:top w:w="90" w:type="dxa"/>
              <w:left w:w="150" w:type="dxa"/>
              <w:bottom w:w="90" w:type="dxa"/>
              <w:right w:w="150" w:type="dxa"/>
            </w:tcMar>
            <w:vAlign w:val="top"/>
          </w:tcPr>
          <w:p w14:paraId="0E12EE1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services by </w:t>
            </w:r>
            <w:r>
              <w:rPr>
                <w:rStyle w:val="20"/>
                <w:rFonts w:hint="default" w:ascii="Times New Roman" w:hAnsi="Times New Roman" w:eastAsia="Consolas" w:cs="Times New Roman"/>
                <w:i w:val="0"/>
                <w:iCs w:val="0"/>
                <w:caps w:val="0"/>
                <w:color w:val="auto"/>
                <w:spacing w:val="0"/>
                <w:kern w:val="0"/>
                <w:sz w:val="16"/>
                <w:szCs w:val="16"/>
                <w:lang w:val="en-US" w:eastAsia="zh-CN" w:bidi="ar"/>
              </w:rPr>
              <w:t>hadm_id</w:t>
            </w:r>
            <w:r>
              <w:rPr>
                <w:rFonts w:hint="default" w:ascii="Times New Roman" w:hAnsi="Times New Roman" w:eastAsia="Segoe UI" w:cs="Times New Roman"/>
                <w:i w:val="0"/>
                <w:iCs w:val="0"/>
                <w:caps w:val="0"/>
                <w:color w:val="auto"/>
                <w:spacing w:val="0"/>
                <w:kern w:val="0"/>
                <w:sz w:val="16"/>
                <w:szCs w:val="16"/>
                <w:lang w:val="en-US" w:eastAsia="zh-CN" w:bidi="ar"/>
              </w:rPr>
              <w:t> and time</w:t>
            </w:r>
          </w:p>
        </w:tc>
        <w:tc>
          <w:tcPr>
            <w:tcW w:w="2166" w:type="dxa"/>
            <w:shd w:val="clear" w:color="auto" w:fill="auto"/>
            <w:tcMar>
              <w:top w:w="90" w:type="dxa"/>
              <w:left w:w="150" w:type="dxa"/>
              <w:bottom w:w="90" w:type="dxa"/>
              <w:right w:w="150" w:type="dxa"/>
            </w:tcMar>
            <w:vAlign w:val="top"/>
          </w:tcPr>
          <w:p w14:paraId="7BDE09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Medical and surgical services differ in risk</w:t>
            </w:r>
          </w:p>
        </w:tc>
        <w:tc>
          <w:tcPr>
            <w:tcW w:w="2153" w:type="dxa"/>
            <w:shd w:val="clear" w:color="auto" w:fill="auto"/>
            <w:tcMar>
              <w:top w:w="90" w:type="dxa"/>
              <w:left w:w="150" w:type="dxa"/>
              <w:bottom w:w="90" w:type="dxa"/>
              <w:right w:w="150" w:type="dxa"/>
            </w:tcMar>
            <w:vAlign w:val="top"/>
          </w:tcPr>
          <w:p w14:paraId="680537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Last service change before the snapshot</w:t>
            </w:r>
          </w:p>
        </w:tc>
      </w:tr>
      <w:tr w14:paraId="138D8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319" w:type="dxa"/>
            <w:shd w:val="clear" w:color="auto" w:fill="auto"/>
            <w:tcMar>
              <w:top w:w="90" w:type="dxa"/>
              <w:left w:w="150" w:type="dxa"/>
              <w:bottom w:w="90" w:type="dxa"/>
              <w:right w:w="150" w:type="dxa"/>
            </w:tcMar>
            <w:vAlign w:val="top"/>
          </w:tcPr>
          <w:p w14:paraId="3A3ECA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Medications</w:t>
            </w:r>
          </w:p>
        </w:tc>
        <w:tc>
          <w:tcPr>
            <w:tcW w:w="2053" w:type="dxa"/>
            <w:shd w:val="clear" w:color="auto" w:fill="auto"/>
            <w:tcMar>
              <w:top w:w="90" w:type="dxa"/>
              <w:left w:w="150" w:type="dxa"/>
              <w:bottom w:w="90" w:type="dxa"/>
              <w:right w:w="150" w:type="dxa"/>
            </w:tcMar>
            <w:vAlign w:val="top"/>
          </w:tcPr>
          <w:p w14:paraId="343DB1A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new orders, new IV orders, and antibiotics, IV antibiotics, vasopressors, diuretics, opioids, insulin, anticoagulants, </w:t>
            </w:r>
            <w:r>
              <w:rPr>
                <w:rFonts w:hint="default" w:ascii="Times New Roman" w:hAnsi="Times New Roman" w:eastAsia="Segoe UI" w:cs="Times New Roman"/>
                <w:b/>
                <w:bCs/>
                <w:i w:val="0"/>
                <w:iCs w:val="0"/>
                <w:caps w:val="0"/>
                <w:color w:val="auto"/>
                <w:spacing w:val="0"/>
                <w:kern w:val="0"/>
                <w:sz w:val="16"/>
                <w:szCs w:val="16"/>
                <w:lang w:val="en-US" w:eastAsia="zh-CN" w:bidi="ar"/>
              </w:rPr>
              <w:t>ACE inhibitors</w:t>
            </w:r>
            <w:r>
              <w:rPr>
                <w:rFonts w:hint="default" w:ascii="Times New Roman" w:hAnsi="Times New Roman" w:eastAsia="Segoe UI" w:cs="Times New Roman"/>
                <w:i w:val="0"/>
                <w:iCs w:val="0"/>
                <w:caps w:val="0"/>
                <w:color w:val="auto"/>
                <w:spacing w:val="0"/>
                <w:kern w:val="0"/>
                <w:sz w:val="16"/>
                <w:szCs w:val="16"/>
                <w:lang w:val="en-US" w:eastAsia="zh-CN" w:bidi="ar"/>
              </w:rPr>
              <w:t> in the last 24 h (</w:t>
            </w:r>
            <w:r>
              <w:rPr>
                <w:rFonts w:hint="default" w:ascii="Times New Roman" w:hAnsi="Times New Roman" w:eastAsia="Segoe UI" w:cs="Times New Roman"/>
                <w:b/>
                <w:bCs/>
                <w:i w:val="0"/>
                <w:iCs w:val="0"/>
                <w:caps w:val="0"/>
                <w:color w:val="auto"/>
                <w:spacing w:val="0"/>
                <w:kern w:val="0"/>
                <w:sz w:val="16"/>
                <w:szCs w:val="16"/>
                <w:lang w:val="en-US" w:eastAsia="zh-CN" w:bidi="ar"/>
              </w:rPr>
              <w:t>10</w:t>
            </w:r>
            <w:r>
              <w:rPr>
                <w:rFonts w:hint="default" w:ascii="Times New Roman" w:hAnsi="Times New Roman" w:eastAsia="Segoe UI" w:cs="Times New Roman"/>
                <w:i w:val="0"/>
                <w:iCs w:val="0"/>
                <w:caps w:val="0"/>
                <w:color w:val="auto"/>
                <w:spacing w:val="0"/>
                <w:kern w:val="0"/>
                <w:sz w:val="16"/>
                <w:szCs w:val="16"/>
                <w:lang w:val="en-US" w:eastAsia="zh-CN" w:bidi="ar"/>
              </w:rPr>
              <w:t> features)</w:t>
            </w:r>
          </w:p>
        </w:tc>
        <w:tc>
          <w:tcPr>
            <w:tcW w:w="1445" w:type="dxa"/>
            <w:shd w:val="clear" w:color="auto" w:fill="auto"/>
            <w:tcMar>
              <w:top w:w="90" w:type="dxa"/>
              <w:left w:w="150" w:type="dxa"/>
              <w:bottom w:w="90" w:type="dxa"/>
              <w:right w:w="150" w:type="dxa"/>
            </w:tcMar>
            <w:vAlign w:val="top"/>
          </w:tcPr>
          <w:p w14:paraId="656B3F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prescriptions by </w:t>
            </w:r>
            <w:r>
              <w:rPr>
                <w:rStyle w:val="20"/>
                <w:rFonts w:hint="default" w:ascii="Times New Roman" w:hAnsi="Times New Roman" w:eastAsia="Consolas" w:cs="Times New Roman"/>
                <w:i w:val="0"/>
                <w:iCs w:val="0"/>
                <w:caps w:val="0"/>
                <w:color w:val="auto"/>
                <w:spacing w:val="0"/>
                <w:kern w:val="0"/>
                <w:sz w:val="16"/>
                <w:szCs w:val="16"/>
                <w:lang w:val="en-US" w:eastAsia="zh-CN" w:bidi="ar"/>
              </w:rPr>
              <w:t>hadm_id</w:t>
            </w:r>
          </w:p>
        </w:tc>
        <w:tc>
          <w:tcPr>
            <w:tcW w:w="2166" w:type="dxa"/>
            <w:shd w:val="clear" w:color="auto" w:fill="auto"/>
            <w:tcMar>
              <w:top w:w="90" w:type="dxa"/>
              <w:left w:w="150" w:type="dxa"/>
              <w:bottom w:w="90" w:type="dxa"/>
              <w:right w:w="150" w:type="dxa"/>
            </w:tcMar>
            <w:vAlign w:val="top"/>
          </w:tcPr>
          <w:p w14:paraId="0C6398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Escalation of treatment (IV antibiotics, diuretics) signals deterioration</w:t>
            </w:r>
          </w:p>
        </w:tc>
        <w:tc>
          <w:tcPr>
            <w:tcW w:w="2153" w:type="dxa"/>
            <w:shd w:val="clear" w:color="auto" w:fill="auto"/>
            <w:tcMar>
              <w:top w:w="90" w:type="dxa"/>
              <w:left w:w="150" w:type="dxa"/>
              <w:bottom w:w="90" w:type="dxa"/>
              <w:right w:w="150" w:type="dxa"/>
            </w:tcMar>
            <w:vAlign w:val="top"/>
          </w:tcPr>
          <w:p w14:paraId="163035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Style w:val="20"/>
                <w:rFonts w:hint="default" w:ascii="Times New Roman" w:hAnsi="Times New Roman" w:eastAsia="Consolas" w:cs="Times New Roman"/>
                <w:i w:val="0"/>
                <w:iCs w:val="0"/>
                <w:caps w:val="0"/>
                <w:color w:val="auto"/>
                <w:spacing w:val="0"/>
                <w:kern w:val="0"/>
                <w:sz w:val="16"/>
                <w:szCs w:val="16"/>
                <w:lang w:val="en-US" w:eastAsia="zh-CN" w:bidi="ar"/>
              </w:rPr>
              <w:t>starttime</w:t>
            </w:r>
            <w:r>
              <w:rPr>
                <w:rFonts w:hint="default" w:ascii="Times New Roman" w:hAnsi="Times New Roman" w:eastAsia="Segoe UI" w:cs="Times New Roman"/>
                <w:i w:val="0"/>
                <w:iCs w:val="0"/>
                <w:caps w:val="0"/>
                <w:color w:val="auto"/>
                <w:spacing w:val="0"/>
                <w:kern w:val="0"/>
                <w:sz w:val="16"/>
                <w:szCs w:val="16"/>
                <w:lang w:val="en-US" w:eastAsia="zh-CN" w:bidi="ar"/>
              </w:rPr>
              <w:t> before the snapshot</w:t>
            </w:r>
          </w:p>
        </w:tc>
      </w:tr>
      <w:tr w14:paraId="2B8DC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81818"/>
          <w:tblCellMar>
            <w:top w:w="15" w:type="dxa"/>
            <w:left w:w="15" w:type="dxa"/>
            <w:bottom w:w="15" w:type="dxa"/>
            <w:right w:w="15" w:type="dxa"/>
          </w:tblCellMar>
        </w:tblPrEx>
        <w:trPr>
          <w:tblCellSpacing w:w="15" w:type="dxa"/>
        </w:trPr>
        <w:tc>
          <w:tcPr>
            <w:tcW w:w="1319" w:type="dxa"/>
            <w:shd w:val="clear" w:color="auto" w:fill="auto"/>
            <w:tcMar>
              <w:top w:w="90" w:type="dxa"/>
              <w:left w:w="150" w:type="dxa"/>
              <w:bottom w:w="90" w:type="dxa"/>
              <w:right w:w="150" w:type="dxa"/>
            </w:tcMar>
            <w:vAlign w:val="top"/>
          </w:tcPr>
          <w:p w14:paraId="6AF0CD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Labs</w:t>
            </w:r>
          </w:p>
        </w:tc>
        <w:tc>
          <w:tcPr>
            <w:tcW w:w="2053" w:type="dxa"/>
            <w:shd w:val="clear" w:color="auto" w:fill="auto"/>
            <w:tcMar>
              <w:top w:w="90" w:type="dxa"/>
              <w:left w:w="150" w:type="dxa"/>
              <w:bottom w:w="90" w:type="dxa"/>
              <w:right w:w="150" w:type="dxa"/>
            </w:tcMar>
            <w:vAlign w:val="top"/>
          </w:tcPr>
          <w:p w14:paraId="55141E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b/>
                <w:bCs/>
                <w:i w:val="0"/>
                <w:iCs w:val="0"/>
                <w:caps w:val="0"/>
                <w:color w:val="auto"/>
                <w:spacing w:val="0"/>
                <w:kern w:val="0"/>
                <w:sz w:val="16"/>
                <w:szCs w:val="16"/>
                <w:lang w:val="en-US" w:eastAsia="zh-CN" w:bidi="ar"/>
              </w:rPr>
              <w:t>last value, change since previous, and count over 24 h</w:t>
            </w:r>
            <w:r>
              <w:rPr>
                <w:rFonts w:hint="default" w:ascii="Times New Roman" w:hAnsi="Times New Roman" w:eastAsia="Segoe UI" w:cs="Times New Roman"/>
                <w:i w:val="0"/>
                <w:iCs w:val="0"/>
                <w:caps w:val="0"/>
                <w:color w:val="auto"/>
                <w:spacing w:val="0"/>
                <w:kern w:val="0"/>
                <w:sz w:val="16"/>
                <w:szCs w:val="16"/>
                <w:lang w:val="en-US" w:eastAsia="zh-CN" w:bidi="ar"/>
              </w:rPr>
              <w:t> for 21 tests (</w:t>
            </w:r>
            <w:r>
              <w:rPr>
                <w:rFonts w:hint="default" w:ascii="Times New Roman" w:hAnsi="Times New Roman" w:eastAsia="Segoe UI" w:cs="Times New Roman"/>
                <w:b/>
                <w:bCs/>
                <w:i w:val="0"/>
                <w:iCs w:val="0"/>
                <w:caps w:val="0"/>
                <w:color w:val="auto"/>
                <w:spacing w:val="0"/>
                <w:kern w:val="0"/>
                <w:sz w:val="16"/>
                <w:szCs w:val="16"/>
                <w:lang w:val="en-US" w:eastAsia="zh-CN" w:bidi="ar"/>
              </w:rPr>
              <w:t>63</w:t>
            </w:r>
            <w:r>
              <w:rPr>
                <w:rFonts w:hint="default" w:ascii="Times New Roman" w:hAnsi="Times New Roman" w:eastAsia="Segoe UI" w:cs="Times New Roman"/>
                <w:i w:val="0"/>
                <w:iCs w:val="0"/>
                <w:caps w:val="0"/>
                <w:color w:val="auto"/>
                <w:spacing w:val="0"/>
                <w:kern w:val="0"/>
                <w:sz w:val="16"/>
                <w:szCs w:val="16"/>
                <w:lang w:val="en-US" w:eastAsia="zh-CN" w:bidi="ar"/>
              </w:rPr>
              <w:t> features; </w:t>
            </w:r>
            <w:r>
              <w:rPr>
                <w:rFonts w:hint="default" w:ascii="Times New Roman" w:hAnsi="Times New Roman" w:eastAsia="Segoe UI" w:cs="Times New Roman"/>
                <w:b/>
                <w:bCs/>
                <w:i w:val="0"/>
                <w:iCs w:val="0"/>
                <w:caps w:val="0"/>
                <w:color w:val="auto"/>
                <w:spacing w:val="0"/>
                <w:kern w:val="0"/>
                <w:sz w:val="16"/>
                <w:szCs w:val="16"/>
                <w:lang w:val="en-US" w:eastAsia="zh-CN" w:bidi="ar"/>
              </w:rPr>
              <w:t>no min24h / max24h</w:t>
            </w:r>
            <w:r>
              <w:rPr>
                <w:rFonts w:hint="default" w:ascii="Times New Roman" w:hAnsi="Times New Roman" w:eastAsia="Segoe UI" w:cs="Times New Roman"/>
                <w:i w:val="0"/>
                <w:iCs w:val="0"/>
                <w:caps w:val="0"/>
                <w:color w:val="auto"/>
                <w:spacing w:val="0"/>
                <w:kern w:val="0"/>
                <w:sz w:val="16"/>
                <w:szCs w:val="16"/>
                <w:lang w:val="en-US" w:eastAsia="zh-CN" w:bidi="ar"/>
              </w:rPr>
              <w:t>)</w:t>
            </w:r>
          </w:p>
        </w:tc>
        <w:tc>
          <w:tcPr>
            <w:tcW w:w="1445" w:type="dxa"/>
            <w:shd w:val="clear" w:color="auto" w:fill="auto"/>
            <w:tcMar>
              <w:top w:w="90" w:type="dxa"/>
              <w:left w:w="150" w:type="dxa"/>
              <w:bottom w:w="90" w:type="dxa"/>
              <w:right w:w="150" w:type="dxa"/>
            </w:tcMar>
            <w:vAlign w:val="top"/>
          </w:tcPr>
          <w:p w14:paraId="74F008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Style w:val="20"/>
                <w:rFonts w:hint="default" w:ascii="Times New Roman" w:hAnsi="Times New Roman" w:eastAsia="Consolas" w:cs="Times New Roman"/>
                <w:i w:val="0"/>
                <w:iCs w:val="0"/>
                <w:caps w:val="0"/>
                <w:color w:val="auto"/>
                <w:spacing w:val="0"/>
                <w:kern w:val="0"/>
                <w:sz w:val="16"/>
                <w:szCs w:val="16"/>
                <w:lang w:val="en-US" w:eastAsia="zh-CN" w:bidi="ar"/>
              </w:rPr>
              <w:t>labevents</w:t>
            </w:r>
            <w:r>
              <w:rPr>
                <w:rFonts w:hint="default" w:ascii="Times New Roman" w:hAnsi="Times New Roman" w:eastAsia="Segoe UI" w:cs="Times New Roman"/>
                <w:i w:val="0"/>
                <w:iCs w:val="0"/>
                <w:caps w:val="0"/>
                <w:color w:val="auto"/>
                <w:spacing w:val="0"/>
                <w:kern w:val="0"/>
                <w:sz w:val="16"/>
                <w:szCs w:val="16"/>
                <w:lang w:val="en-US" w:eastAsia="zh-CN" w:bidi="ar"/>
              </w:rPr>
              <w:t> by </w:t>
            </w:r>
            <w:r>
              <w:rPr>
                <w:rStyle w:val="20"/>
                <w:rFonts w:hint="default" w:ascii="Times New Roman" w:hAnsi="Times New Roman" w:eastAsia="Consolas" w:cs="Times New Roman"/>
                <w:i w:val="0"/>
                <w:iCs w:val="0"/>
                <w:caps w:val="0"/>
                <w:color w:val="auto"/>
                <w:spacing w:val="0"/>
                <w:kern w:val="0"/>
                <w:sz w:val="16"/>
                <w:szCs w:val="16"/>
                <w:lang w:val="en-US" w:eastAsia="zh-CN" w:bidi="ar"/>
              </w:rPr>
              <w:t>hadm_id</w:t>
            </w:r>
          </w:p>
        </w:tc>
        <w:tc>
          <w:tcPr>
            <w:tcW w:w="2166" w:type="dxa"/>
            <w:shd w:val="clear" w:color="auto" w:fill="auto"/>
            <w:tcMar>
              <w:top w:w="90" w:type="dxa"/>
              <w:left w:w="150" w:type="dxa"/>
              <w:bottom w:w="90" w:type="dxa"/>
              <w:right w:w="150" w:type="dxa"/>
            </w:tcMar>
            <w:vAlign w:val="top"/>
          </w:tcPr>
          <w:p w14:paraId="4204BB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Abnormal and worsening labs (lactate, BUN, WBC) and labs being ordered at all signal concern</w:t>
            </w:r>
          </w:p>
        </w:tc>
        <w:tc>
          <w:tcPr>
            <w:tcW w:w="2153" w:type="dxa"/>
            <w:shd w:val="clear" w:color="auto" w:fill="auto"/>
            <w:tcMar>
              <w:top w:w="90" w:type="dxa"/>
              <w:left w:w="150" w:type="dxa"/>
              <w:bottom w:w="90" w:type="dxa"/>
              <w:right w:w="150" w:type="dxa"/>
            </w:tcMar>
            <w:vAlign w:val="top"/>
          </w:tcPr>
          <w:p w14:paraId="7D8B00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top"/>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kern w:val="0"/>
                <w:sz w:val="16"/>
                <w:szCs w:val="16"/>
                <w:lang w:val="en-US" w:eastAsia="zh-CN" w:bidi="ar"/>
              </w:rPr>
              <w:t>Result released (</w:t>
            </w:r>
            <w:r>
              <w:rPr>
                <w:rStyle w:val="20"/>
                <w:rFonts w:hint="default" w:ascii="Times New Roman" w:hAnsi="Times New Roman" w:eastAsia="Consolas" w:cs="Times New Roman"/>
                <w:i w:val="0"/>
                <w:iCs w:val="0"/>
                <w:caps w:val="0"/>
                <w:color w:val="auto"/>
                <w:spacing w:val="0"/>
                <w:kern w:val="0"/>
                <w:sz w:val="16"/>
                <w:szCs w:val="16"/>
                <w:lang w:val="en-US" w:eastAsia="zh-CN" w:bidi="ar"/>
              </w:rPr>
              <w:t>storetime</w:t>
            </w:r>
            <w:r>
              <w:rPr>
                <w:rFonts w:hint="default" w:ascii="Times New Roman" w:hAnsi="Times New Roman" w:eastAsia="Segoe UI" w:cs="Times New Roman"/>
                <w:i w:val="0"/>
                <w:iCs w:val="0"/>
                <w:caps w:val="0"/>
                <w:color w:val="auto"/>
                <w:spacing w:val="0"/>
                <w:kern w:val="0"/>
                <w:sz w:val="16"/>
                <w:szCs w:val="16"/>
                <w:lang w:val="en-US" w:eastAsia="zh-CN" w:bidi="ar"/>
              </w:rPr>
              <w:t>) before the snapshot</w:t>
            </w:r>
          </w:p>
        </w:tc>
      </w:tr>
    </w:tbl>
    <w:p w14:paraId="7225C2A9">
      <w:pPr>
        <w:spacing w:before="0" w:after="160" w:line="360" w:lineRule="auto"/>
        <w:ind w:firstLine="720"/>
        <w:rPr>
          <w:rFonts w:ascii="Times New Roman" w:hAnsi="Times New Roman" w:eastAsia="Times New Roman"/>
          <w:b w:val="0"/>
          <w:i w:val="0"/>
          <w:sz w:val="22"/>
          <w:szCs w:val="22"/>
        </w:rPr>
      </w:pPr>
    </w:p>
    <w:p w14:paraId="07A70A78">
      <w:pPr>
        <w:spacing w:before="0" w:after="160" w:line="360" w:lineRule="auto"/>
        <w:ind w:left="0" w:leftChars="0" w:firstLine="220" w:firstLineChars="100"/>
        <w:rPr>
          <w:sz w:val="22"/>
          <w:szCs w:val="22"/>
        </w:rPr>
      </w:pPr>
    </w:p>
    <w:p w14:paraId="5FF6EB40">
      <w:pPr>
        <w:spacing w:before="0" w:after="160" w:line="360" w:lineRule="auto"/>
        <w:ind w:left="0" w:leftChars="0" w:firstLine="0" w:firstLineChars="0"/>
        <w:jc w:val="center"/>
        <w:rPr>
          <w:sz w:val="22"/>
          <w:szCs w:val="22"/>
        </w:rPr>
      </w:pPr>
      <w:r>
        <w:rPr>
          <w:sz w:val="22"/>
          <w:szCs w:val="22"/>
        </w:rPr>
        <w:drawing>
          <wp:anchor distT="0" distB="0" distL="114300" distR="114300" simplePos="0" relativeHeight="251661312" behindDoc="1" locked="0" layoutInCell="1" allowOverlap="1">
            <wp:simplePos x="0" y="0"/>
            <wp:positionH relativeFrom="column">
              <wp:posOffset>504190</wp:posOffset>
            </wp:positionH>
            <wp:positionV relativeFrom="paragraph">
              <wp:posOffset>0</wp:posOffset>
            </wp:positionV>
            <wp:extent cx="4995545" cy="3154045"/>
            <wp:effectExtent l="0" t="0" r="3175" b="635"/>
            <wp:wrapThrough wrapText="bothSides">
              <wp:wrapPolygon>
                <wp:start x="0" y="0"/>
                <wp:lineTo x="0" y="21500"/>
                <wp:lineTo x="21548" y="21500"/>
                <wp:lineTo x="21548" y="0"/>
                <wp:lineTo x="0" y="0"/>
              </wp:wrapPolygon>
            </wp:wrapThrough>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8"/>
                    <a:stretch>
                      <a:fillRect/>
                    </a:stretch>
                  </pic:blipFill>
                  <pic:spPr>
                    <a:xfrm>
                      <a:off x="0" y="0"/>
                      <a:ext cx="4995545" cy="3154045"/>
                    </a:xfrm>
                    <a:prstGeom prst="rect">
                      <a:avLst/>
                    </a:prstGeom>
                    <a:noFill/>
                    <a:ln>
                      <a:noFill/>
                    </a:ln>
                  </pic:spPr>
                </pic:pic>
              </a:graphicData>
            </a:graphic>
          </wp:anchor>
        </w:drawing>
      </w:r>
    </w:p>
    <w:p w14:paraId="7D459A3F">
      <w:pPr>
        <w:spacing w:before="0" w:after="160" w:line="360" w:lineRule="auto"/>
        <w:ind w:left="0" w:leftChars="0" w:firstLine="0" w:firstLineChars="0"/>
        <w:jc w:val="left"/>
        <w:rPr>
          <w:rFonts w:ascii="Times New Roman" w:hAnsi="Times New Roman" w:eastAsia="Times New Roman"/>
          <w:b/>
          <w:i w:val="0"/>
          <w:sz w:val="24"/>
          <w:szCs w:val="24"/>
        </w:rPr>
      </w:pPr>
    </w:p>
    <w:p w14:paraId="569D3538">
      <w:pPr>
        <w:spacing w:before="0" w:after="160" w:line="360" w:lineRule="auto"/>
        <w:ind w:left="0" w:leftChars="0" w:firstLine="0" w:firstLineChars="0"/>
        <w:jc w:val="left"/>
        <w:rPr>
          <w:rFonts w:ascii="Times New Roman" w:hAnsi="Times New Roman" w:eastAsia="Times New Roman"/>
          <w:b/>
          <w:i w:val="0"/>
          <w:sz w:val="24"/>
          <w:szCs w:val="24"/>
        </w:rPr>
      </w:pPr>
    </w:p>
    <w:p w14:paraId="513B48B2">
      <w:pPr>
        <w:spacing w:before="0" w:after="160" w:line="360" w:lineRule="auto"/>
        <w:ind w:left="0" w:leftChars="0" w:firstLine="0" w:firstLineChars="0"/>
        <w:jc w:val="left"/>
        <w:rPr>
          <w:rFonts w:ascii="Times New Roman" w:hAnsi="Times New Roman" w:eastAsia="Times New Roman"/>
          <w:b/>
          <w:i w:val="0"/>
          <w:sz w:val="24"/>
          <w:szCs w:val="24"/>
        </w:rPr>
      </w:pPr>
    </w:p>
    <w:p w14:paraId="2E890C18">
      <w:pPr>
        <w:spacing w:before="0" w:after="160" w:line="360" w:lineRule="auto"/>
        <w:ind w:left="0" w:leftChars="0" w:firstLine="0" w:firstLineChars="0"/>
        <w:jc w:val="left"/>
        <w:rPr>
          <w:rFonts w:ascii="Times New Roman" w:hAnsi="Times New Roman" w:eastAsia="Times New Roman"/>
          <w:b/>
          <w:i w:val="0"/>
          <w:sz w:val="24"/>
          <w:szCs w:val="24"/>
        </w:rPr>
      </w:pPr>
    </w:p>
    <w:p w14:paraId="193EEFE8">
      <w:pPr>
        <w:spacing w:before="0" w:after="160" w:line="360" w:lineRule="auto"/>
        <w:ind w:left="0" w:leftChars="0" w:firstLine="0" w:firstLineChars="0"/>
        <w:jc w:val="left"/>
        <w:rPr>
          <w:rFonts w:ascii="Times New Roman" w:hAnsi="Times New Roman" w:eastAsia="Times New Roman"/>
          <w:b/>
          <w:i w:val="0"/>
          <w:sz w:val="24"/>
          <w:szCs w:val="24"/>
        </w:rPr>
      </w:pPr>
    </w:p>
    <w:p w14:paraId="2125F9C2">
      <w:pPr>
        <w:spacing w:before="0" w:after="160" w:line="360" w:lineRule="auto"/>
        <w:ind w:left="0" w:leftChars="0" w:firstLine="0" w:firstLineChars="0"/>
        <w:jc w:val="left"/>
        <w:rPr>
          <w:rFonts w:ascii="Times New Roman" w:hAnsi="Times New Roman" w:eastAsia="Times New Roman"/>
          <w:b/>
          <w:i w:val="0"/>
          <w:sz w:val="24"/>
          <w:szCs w:val="24"/>
        </w:rPr>
      </w:pPr>
    </w:p>
    <w:p w14:paraId="4C4C5A4D">
      <w:pPr>
        <w:spacing w:before="0" w:after="160" w:line="360" w:lineRule="auto"/>
        <w:ind w:left="0" w:leftChars="0" w:firstLine="0" w:firstLineChars="0"/>
        <w:jc w:val="left"/>
        <w:rPr>
          <w:rFonts w:ascii="Times New Roman" w:hAnsi="Times New Roman" w:eastAsia="Times New Roman"/>
          <w:b/>
          <w:i w:val="0"/>
          <w:sz w:val="24"/>
          <w:szCs w:val="24"/>
        </w:rPr>
      </w:pPr>
    </w:p>
    <w:p w14:paraId="1F2D1A9B">
      <w:pPr>
        <w:spacing w:before="0" w:after="160" w:line="360" w:lineRule="auto"/>
        <w:ind w:left="0" w:leftChars="0" w:firstLine="0" w:firstLineChars="0"/>
        <w:jc w:val="left"/>
        <w:rPr>
          <w:rFonts w:ascii="Times New Roman" w:hAnsi="Times New Roman" w:eastAsia="Times New Roman"/>
          <w:b/>
          <w:i w:val="0"/>
          <w:sz w:val="24"/>
          <w:szCs w:val="24"/>
        </w:rPr>
      </w:pPr>
    </w:p>
    <w:p w14:paraId="460C8237">
      <w:pPr>
        <w:spacing w:before="0" w:after="160" w:line="360" w:lineRule="auto"/>
        <w:ind w:left="0" w:leftChars="0" w:firstLine="0" w:firstLineChars="0"/>
        <w:jc w:val="left"/>
        <w:rPr>
          <w:sz w:val="24"/>
          <w:szCs w:val="24"/>
        </w:rPr>
      </w:pPr>
      <w:r>
        <w:rPr>
          <w:rFonts w:ascii="Times New Roman" w:hAnsi="Times New Roman" w:eastAsia="Times New Roman"/>
          <w:b/>
          <w:i w:val="0"/>
          <w:sz w:val="24"/>
          <w:szCs w:val="24"/>
        </w:rPr>
        <w:t>3. Data Partitioning</w:t>
      </w:r>
    </w:p>
    <w:p w14:paraId="1BB04AAA">
      <w:pPr>
        <w:spacing w:before="0" w:after="160" w:line="360" w:lineRule="auto"/>
        <w:ind w:firstLine="720"/>
        <w:rPr>
          <w:sz w:val="22"/>
          <w:szCs w:val="22"/>
        </w:rPr>
      </w:pPr>
      <w:r>
        <w:rPr>
          <w:rFonts w:ascii="Times New Roman" w:hAnsi="Times New Roman" w:eastAsia="Times New Roman"/>
          <w:b w:val="0"/>
          <w:i w:val="0"/>
          <w:sz w:val="22"/>
          <w:szCs w:val="22"/>
        </w:rPr>
        <w:t>The split is by patient, not by snapshot or admission. One person contributes several admissions and many daily rows; a random row split would put the same physiology in both train and test and would overstate performance. Every subject_id is assigned to exactly one of train, validation, or test in a 60/20/20 ratio, stratified on whether that patient ever had a ward-to-ICU transfer, with seed 7275 (the course number) in config.yaml. The assignment is written before any figure in this report was drawn. All exploratory analysis, imputation, scaling, encoding, and PCA below use only the training patients. The test patients are unused until M4 final evaluation.</w:t>
      </w:r>
    </w:p>
    <w:p w14:paraId="21A650F0">
      <w:pPr>
        <w:spacing w:before="120" w:after="80" w:line="360" w:lineRule="auto"/>
        <w:ind w:firstLine="0"/>
        <w:jc w:val="left"/>
        <w:rPr>
          <w:sz w:val="18"/>
          <w:szCs w:val="18"/>
        </w:rPr>
      </w:pPr>
      <w:r>
        <w:rPr>
          <w:rFonts w:ascii="Times New Roman" w:hAnsi="Times New Roman" w:eastAsia="Times New Roman"/>
          <w:b w:val="0"/>
          <w:i/>
          <w:sz w:val="18"/>
          <w:szCs w:val="18"/>
        </w:rPr>
        <w:t>Table 2. Patient-level 60/20/20 split, stratified on ever having a ward-to-ICU transfer, seed 7275. ICU rate is the share of admissions in that split with a later unplanned ICU entry.</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1550"/>
        <w:gridCol w:w="1700"/>
        <w:gridCol w:w="3075"/>
        <w:gridCol w:w="1558"/>
      </w:tblGrid>
      <w:tr w14:paraId="3825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E07B561">
            <w:pPr>
              <w:spacing w:before="0" w:after="0" w:line="276" w:lineRule="auto"/>
              <w:rPr>
                <w:sz w:val="18"/>
                <w:szCs w:val="18"/>
              </w:rPr>
            </w:pPr>
            <w:r>
              <w:rPr>
                <w:rFonts w:ascii="Times New Roman" w:hAnsi="Times New Roman" w:eastAsia="Times New Roman"/>
                <w:b/>
                <w:i w:val="0"/>
                <w:sz w:val="18"/>
                <w:szCs w:val="18"/>
              </w:rPr>
              <w:t>Split</w:t>
            </w:r>
          </w:p>
        </w:tc>
        <w:tc>
          <w:tcPr>
            <w:tcW w:w="1584" w:type="dxa"/>
          </w:tcPr>
          <w:p w14:paraId="57DFF757">
            <w:pPr>
              <w:spacing w:before="0" w:after="0" w:line="276" w:lineRule="auto"/>
              <w:rPr>
                <w:sz w:val="18"/>
                <w:szCs w:val="18"/>
              </w:rPr>
            </w:pPr>
            <w:r>
              <w:rPr>
                <w:rFonts w:ascii="Times New Roman" w:hAnsi="Times New Roman" w:eastAsia="Times New Roman"/>
                <w:b/>
                <w:i w:val="0"/>
                <w:sz w:val="18"/>
                <w:szCs w:val="18"/>
              </w:rPr>
              <w:t>Patients</w:t>
            </w:r>
          </w:p>
        </w:tc>
        <w:tc>
          <w:tcPr>
            <w:tcW w:w="1728" w:type="dxa"/>
          </w:tcPr>
          <w:p w14:paraId="1BB7A256">
            <w:pPr>
              <w:spacing w:before="0" w:after="0" w:line="276" w:lineRule="auto"/>
              <w:rPr>
                <w:sz w:val="18"/>
                <w:szCs w:val="18"/>
              </w:rPr>
            </w:pPr>
            <w:r>
              <w:rPr>
                <w:rFonts w:ascii="Times New Roman" w:hAnsi="Times New Roman" w:eastAsia="Times New Roman"/>
                <w:b/>
                <w:i w:val="0"/>
                <w:sz w:val="18"/>
                <w:szCs w:val="18"/>
              </w:rPr>
              <w:t>Admissions</w:t>
            </w:r>
          </w:p>
        </w:tc>
        <w:tc>
          <w:tcPr>
            <w:tcW w:w="3168" w:type="dxa"/>
          </w:tcPr>
          <w:p w14:paraId="4E0E75B3">
            <w:pPr>
              <w:spacing w:before="0" w:after="0" w:line="276" w:lineRule="auto"/>
              <w:rPr>
                <w:sz w:val="18"/>
                <w:szCs w:val="18"/>
              </w:rPr>
            </w:pPr>
            <w:r>
              <w:rPr>
                <w:rFonts w:ascii="Times New Roman" w:hAnsi="Times New Roman" w:eastAsia="Times New Roman"/>
                <w:b/>
                <w:i w:val="0"/>
                <w:sz w:val="18"/>
                <w:szCs w:val="18"/>
              </w:rPr>
              <w:t>Admissions with ICU transfer</w:t>
            </w:r>
          </w:p>
        </w:tc>
        <w:tc>
          <w:tcPr>
            <w:tcW w:w="1584" w:type="dxa"/>
          </w:tcPr>
          <w:p w14:paraId="43F26A4D">
            <w:pPr>
              <w:spacing w:before="0" w:after="0" w:line="276" w:lineRule="auto"/>
              <w:rPr>
                <w:sz w:val="18"/>
                <w:szCs w:val="18"/>
              </w:rPr>
            </w:pPr>
            <w:r>
              <w:rPr>
                <w:rFonts w:ascii="Times New Roman" w:hAnsi="Times New Roman" w:eastAsia="Times New Roman"/>
                <w:b/>
                <w:i w:val="0"/>
                <w:sz w:val="18"/>
                <w:szCs w:val="18"/>
              </w:rPr>
              <w:t>Snapshots</w:t>
            </w:r>
          </w:p>
        </w:tc>
      </w:tr>
      <w:tr w14:paraId="21BB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DF4659E">
            <w:pPr>
              <w:spacing w:before="0" w:after="0" w:line="276" w:lineRule="auto"/>
              <w:rPr>
                <w:sz w:val="18"/>
                <w:szCs w:val="18"/>
              </w:rPr>
            </w:pPr>
            <w:r>
              <w:rPr>
                <w:rFonts w:ascii="Times New Roman" w:hAnsi="Times New Roman" w:eastAsia="Times New Roman"/>
                <w:b w:val="0"/>
                <w:i w:val="0"/>
                <w:sz w:val="18"/>
                <w:szCs w:val="18"/>
              </w:rPr>
              <w:t>Train</w:t>
            </w:r>
          </w:p>
        </w:tc>
        <w:tc>
          <w:tcPr>
            <w:tcW w:w="1584" w:type="dxa"/>
          </w:tcPr>
          <w:p w14:paraId="44874BFB">
            <w:pPr>
              <w:spacing w:before="0" w:after="0" w:line="276" w:lineRule="auto"/>
              <w:rPr>
                <w:sz w:val="18"/>
                <w:szCs w:val="18"/>
              </w:rPr>
            </w:pPr>
            <w:r>
              <w:rPr>
                <w:rFonts w:ascii="Times New Roman" w:hAnsi="Times New Roman" w:eastAsia="Times New Roman"/>
                <w:b w:val="0"/>
                <w:i w:val="0"/>
                <w:sz w:val="18"/>
                <w:szCs w:val="18"/>
              </w:rPr>
              <w:t>33,006</w:t>
            </w:r>
          </w:p>
        </w:tc>
        <w:tc>
          <w:tcPr>
            <w:tcW w:w="1728" w:type="dxa"/>
          </w:tcPr>
          <w:p w14:paraId="701B9321">
            <w:pPr>
              <w:spacing w:before="0" w:after="0" w:line="276" w:lineRule="auto"/>
              <w:rPr>
                <w:sz w:val="18"/>
                <w:szCs w:val="18"/>
              </w:rPr>
            </w:pPr>
            <w:r>
              <w:rPr>
                <w:rFonts w:ascii="Times New Roman" w:hAnsi="Times New Roman" w:eastAsia="Times New Roman"/>
                <w:b w:val="0"/>
                <w:i w:val="0"/>
                <w:sz w:val="18"/>
                <w:szCs w:val="18"/>
              </w:rPr>
              <w:t>91,786</w:t>
            </w:r>
          </w:p>
        </w:tc>
        <w:tc>
          <w:tcPr>
            <w:tcW w:w="3168" w:type="dxa"/>
          </w:tcPr>
          <w:p w14:paraId="26936859">
            <w:pPr>
              <w:spacing w:before="0" w:after="0" w:line="276" w:lineRule="auto"/>
              <w:rPr>
                <w:sz w:val="18"/>
                <w:szCs w:val="18"/>
              </w:rPr>
            </w:pPr>
            <w:r>
              <w:rPr>
                <w:rFonts w:ascii="Times New Roman" w:hAnsi="Times New Roman" w:eastAsia="Times New Roman"/>
                <w:b w:val="0"/>
                <w:i w:val="0"/>
                <w:sz w:val="18"/>
                <w:szCs w:val="18"/>
              </w:rPr>
              <w:t>6,060 (6.60%)</w:t>
            </w:r>
          </w:p>
        </w:tc>
        <w:tc>
          <w:tcPr>
            <w:tcW w:w="1584" w:type="dxa"/>
          </w:tcPr>
          <w:p w14:paraId="1AC18C76">
            <w:pPr>
              <w:spacing w:before="0" w:after="0" w:line="276" w:lineRule="auto"/>
              <w:rPr>
                <w:sz w:val="18"/>
                <w:szCs w:val="18"/>
              </w:rPr>
            </w:pPr>
            <w:r>
              <w:rPr>
                <w:rFonts w:ascii="Times New Roman" w:hAnsi="Times New Roman" w:eastAsia="Times New Roman"/>
                <w:b w:val="0"/>
                <w:i w:val="0"/>
                <w:sz w:val="18"/>
                <w:szCs w:val="18"/>
              </w:rPr>
              <w:t>436,541</w:t>
            </w:r>
          </w:p>
        </w:tc>
      </w:tr>
      <w:tr w14:paraId="0793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27F0EC1">
            <w:pPr>
              <w:spacing w:before="0" w:after="0" w:line="276" w:lineRule="auto"/>
              <w:rPr>
                <w:sz w:val="18"/>
                <w:szCs w:val="18"/>
              </w:rPr>
            </w:pPr>
            <w:r>
              <w:rPr>
                <w:rFonts w:ascii="Times New Roman" w:hAnsi="Times New Roman" w:eastAsia="Times New Roman"/>
                <w:b w:val="0"/>
                <w:i w:val="0"/>
                <w:sz w:val="18"/>
                <w:szCs w:val="18"/>
              </w:rPr>
              <w:t>Validation</w:t>
            </w:r>
          </w:p>
        </w:tc>
        <w:tc>
          <w:tcPr>
            <w:tcW w:w="1584" w:type="dxa"/>
          </w:tcPr>
          <w:p w14:paraId="3B4AA838">
            <w:pPr>
              <w:spacing w:before="0" w:after="0" w:line="276" w:lineRule="auto"/>
              <w:rPr>
                <w:sz w:val="18"/>
                <w:szCs w:val="18"/>
              </w:rPr>
            </w:pPr>
            <w:r>
              <w:rPr>
                <w:rFonts w:ascii="Times New Roman" w:hAnsi="Times New Roman" w:eastAsia="Times New Roman"/>
                <w:b w:val="0"/>
                <w:i w:val="0"/>
                <w:sz w:val="18"/>
                <w:szCs w:val="18"/>
              </w:rPr>
              <w:t>11,003</w:t>
            </w:r>
          </w:p>
        </w:tc>
        <w:tc>
          <w:tcPr>
            <w:tcW w:w="1728" w:type="dxa"/>
          </w:tcPr>
          <w:p w14:paraId="2D75F44A">
            <w:pPr>
              <w:spacing w:before="0" w:after="0" w:line="276" w:lineRule="auto"/>
              <w:rPr>
                <w:sz w:val="18"/>
                <w:szCs w:val="18"/>
              </w:rPr>
            </w:pPr>
            <w:r>
              <w:rPr>
                <w:rFonts w:ascii="Times New Roman" w:hAnsi="Times New Roman" w:eastAsia="Times New Roman"/>
                <w:b w:val="0"/>
                <w:i w:val="0"/>
                <w:sz w:val="18"/>
                <w:szCs w:val="18"/>
              </w:rPr>
              <w:t>31,331</w:t>
            </w:r>
          </w:p>
        </w:tc>
        <w:tc>
          <w:tcPr>
            <w:tcW w:w="3168" w:type="dxa"/>
          </w:tcPr>
          <w:p w14:paraId="788BE8A4">
            <w:pPr>
              <w:spacing w:before="0" w:after="0" w:line="276" w:lineRule="auto"/>
              <w:rPr>
                <w:sz w:val="18"/>
                <w:szCs w:val="18"/>
              </w:rPr>
            </w:pPr>
            <w:r>
              <w:rPr>
                <w:rFonts w:ascii="Times New Roman" w:hAnsi="Times New Roman" w:eastAsia="Times New Roman"/>
                <w:b w:val="0"/>
                <w:i w:val="0"/>
                <w:sz w:val="18"/>
                <w:szCs w:val="18"/>
              </w:rPr>
              <w:t>2,009 (6.41%)</w:t>
            </w:r>
          </w:p>
        </w:tc>
        <w:tc>
          <w:tcPr>
            <w:tcW w:w="1584" w:type="dxa"/>
          </w:tcPr>
          <w:p w14:paraId="55535613">
            <w:pPr>
              <w:spacing w:before="0" w:after="0" w:line="276" w:lineRule="auto"/>
              <w:rPr>
                <w:sz w:val="18"/>
                <w:szCs w:val="18"/>
              </w:rPr>
            </w:pPr>
            <w:r>
              <w:rPr>
                <w:rFonts w:ascii="Times New Roman" w:hAnsi="Times New Roman" w:eastAsia="Times New Roman"/>
                <w:b w:val="0"/>
                <w:i w:val="0"/>
                <w:sz w:val="18"/>
                <w:szCs w:val="18"/>
              </w:rPr>
              <w:t>145,686</w:t>
            </w:r>
          </w:p>
        </w:tc>
      </w:tr>
      <w:tr w14:paraId="14CD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8A1477">
            <w:pPr>
              <w:spacing w:before="0" w:after="0" w:line="276" w:lineRule="auto"/>
              <w:rPr>
                <w:sz w:val="18"/>
                <w:szCs w:val="18"/>
              </w:rPr>
            </w:pPr>
            <w:r>
              <w:rPr>
                <w:rFonts w:ascii="Times New Roman" w:hAnsi="Times New Roman" w:eastAsia="Times New Roman"/>
                <w:b w:val="0"/>
                <w:i w:val="0"/>
                <w:sz w:val="18"/>
                <w:szCs w:val="18"/>
              </w:rPr>
              <w:t>Test</w:t>
            </w:r>
          </w:p>
        </w:tc>
        <w:tc>
          <w:tcPr>
            <w:tcW w:w="1584" w:type="dxa"/>
          </w:tcPr>
          <w:p w14:paraId="2760A749">
            <w:pPr>
              <w:spacing w:before="0" w:after="0" w:line="276" w:lineRule="auto"/>
              <w:rPr>
                <w:sz w:val="18"/>
                <w:szCs w:val="18"/>
              </w:rPr>
            </w:pPr>
            <w:r>
              <w:rPr>
                <w:rFonts w:ascii="Times New Roman" w:hAnsi="Times New Roman" w:eastAsia="Times New Roman"/>
                <w:b w:val="0"/>
                <w:i w:val="0"/>
                <w:sz w:val="18"/>
                <w:szCs w:val="18"/>
              </w:rPr>
              <w:t>11,003</w:t>
            </w:r>
          </w:p>
        </w:tc>
        <w:tc>
          <w:tcPr>
            <w:tcW w:w="1728" w:type="dxa"/>
          </w:tcPr>
          <w:p w14:paraId="6B3E3A0E">
            <w:pPr>
              <w:spacing w:before="0" w:after="0" w:line="276" w:lineRule="auto"/>
              <w:rPr>
                <w:sz w:val="18"/>
                <w:szCs w:val="18"/>
              </w:rPr>
            </w:pPr>
            <w:r>
              <w:rPr>
                <w:rFonts w:ascii="Times New Roman" w:hAnsi="Times New Roman" w:eastAsia="Times New Roman"/>
                <w:b w:val="0"/>
                <w:i w:val="0"/>
                <w:sz w:val="18"/>
                <w:szCs w:val="18"/>
              </w:rPr>
              <w:t>30,331</w:t>
            </w:r>
          </w:p>
        </w:tc>
        <w:tc>
          <w:tcPr>
            <w:tcW w:w="3168" w:type="dxa"/>
          </w:tcPr>
          <w:p w14:paraId="71CE6E34">
            <w:pPr>
              <w:spacing w:before="0" w:after="0" w:line="276" w:lineRule="auto"/>
              <w:rPr>
                <w:sz w:val="18"/>
                <w:szCs w:val="18"/>
              </w:rPr>
            </w:pPr>
            <w:r>
              <w:rPr>
                <w:rFonts w:ascii="Times New Roman" w:hAnsi="Times New Roman" w:eastAsia="Times New Roman"/>
                <w:b w:val="0"/>
                <w:i w:val="0"/>
                <w:sz w:val="18"/>
                <w:szCs w:val="18"/>
              </w:rPr>
              <w:t>2,039 (6.72%)</w:t>
            </w:r>
          </w:p>
        </w:tc>
        <w:tc>
          <w:tcPr>
            <w:tcW w:w="1584" w:type="dxa"/>
          </w:tcPr>
          <w:p w14:paraId="62CE4E60">
            <w:pPr>
              <w:spacing w:before="0" w:after="0" w:line="276" w:lineRule="auto"/>
              <w:rPr>
                <w:sz w:val="18"/>
                <w:szCs w:val="18"/>
              </w:rPr>
            </w:pPr>
            <w:r>
              <w:rPr>
                <w:rFonts w:ascii="Times New Roman" w:hAnsi="Times New Roman" w:eastAsia="Times New Roman"/>
                <w:b w:val="0"/>
                <w:i w:val="0"/>
                <w:sz w:val="18"/>
                <w:szCs w:val="18"/>
              </w:rPr>
              <w:t>143,107</w:t>
            </w:r>
          </w:p>
        </w:tc>
      </w:tr>
      <w:tr w14:paraId="0122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AF2AD7">
            <w:pPr>
              <w:spacing w:before="0" w:after="0" w:line="276" w:lineRule="auto"/>
              <w:rPr>
                <w:sz w:val="18"/>
                <w:szCs w:val="18"/>
              </w:rPr>
            </w:pPr>
            <w:r>
              <w:rPr>
                <w:rFonts w:ascii="Times New Roman" w:hAnsi="Times New Roman" w:eastAsia="Times New Roman"/>
                <w:b w:val="0"/>
                <w:i w:val="0"/>
                <w:sz w:val="18"/>
                <w:szCs w:val="18"/>
              </w:rPr>
              <w:t>Total</w:t>
            </w:r>
          </w:p>
        </w:tc>
        <w:tc>
          <w:tcPr>
            <w:tcW w:w="1584" w:type="dxa"/>
          </w:tcPr>
          <w:p w14:paraId="7382EC75">
            <w:pPr>
              <w:spacing w:before="0" w:after="0" w:line="276" w:lineRule="auto"/>
              <w:rPr>
                <w:sz w:val="18"/>
                <w:szCs w:val="18"/>
              </w:rPr>
            </w:pPr>
            <w:r>
              <w:rPr>
                <w:rFonts w:ascii="Times New Roman" w:hAnsi="Times New Roman" w:eastAsia="Times New Roman"/>
                <w:b w:val="0"/>
                <w:i w:val="0"/>
                <w:sz w:val="18"/>
                <w:szCs w:val="18"/>
              </w:rPr>
              <w:t>55,012</w:t>
            </w:r>
          </w:p>
        </w:tc>
        <w:tc>
          <w:tcPr>
            <w:tcW w:w="1728" w:type="dxa"/>
          </w:tcPr>
          <w:p w14:paraId="53EA43B2">
            <w:pPr>
              <w:spacing w:before="0" w:after="0" w:line="276" w:lineRule="auto"/>
              <w:rPr>
                <w:sz w:val="18"/>
                <w:szCs w:val="18"/>
              </w:rPr>
            </w:pPr>
            <w:r>
              <w:rPr>
                <w:rFonts w:ascii="Times New Roman" w:hAnsi="Times New Roman" w:eastAsia="Times New Roman"/>
                <w:b w:val="0"/>
                <w:i w:val="0"/>
                <w:sz w:val="18"/>
                <w:szCs w:val="18"/>
              </w:rPr>
              <w:t>153,448</w:t>
            </w:r>
          </w:p>
        </w:tc>
        <w:tc>
          <w:tcPr>
            <w:tcW w:w="3168" w:type="dxa"/>
          </w:tcPr>
          <w:p w14:paraId="1F443AF4">
            <w:pPr>
              <w:spacing w:before="0" w:after="0" w:line="276" w:lineRule="auto"/>
              <w:rPr>
                <w:sz w:val="18"/>
                <w:szCs w:val="18"/>
              </w:rPr>
            </w:pPr>
            <w:r>
              <w:rPr>
                <w:rFonts w:ascii="Times New Roman" w:hAnsi="Times New Roman" w:eastAsia="Times New Roman"/>
                <w:b w:val="0"/>
                <w:i w:val="0"/>
                <w:sz w:val="18"/>
                <w:szCs w:val="18"/>
              </w:rPr>
              <w:t>10,108 (6.59%)</w:t>
            </w:r>
          </w:p>
        </w:tc>
        <w:tc>
          <w:tcPr>
            <w:tcW w:w="1584" w:type="dxa"/>
          </w:tcPr>
          <w:p w14:paraId="1CA33111">
            <w:pPr>
              <w:spacing w:before="0" w:after="0" w:line="276" w:lineRule="auto"/>
              <w:rPr>
                <w:sz w:val="18"/>
                <w:szCs w:val="18"/>
              </w:rPr>
            </w:pPr>
            <w:r>
              <w:rPr>
                <w:rFonts w:ascii="Times New Roman" w:hAnsi="Times New Roman" w:eastAsia="Times New Roman"/>
                <w:b w:val="0"/>
                <w:i w:val="0"/>
                <w:sz w:val="18"/>
                <w:szCs w:val="18"/>
              </w:rPr>
              <w:t>725,334</w:t>
            </w:r>
          </w:p>
        </w:tc>
      </w:tr>
    </w:tbl>
    <w:p w14:paraId="2FE1F8D5">
      <w:pPr>
        <w:spacing w:before="240" w:after="120" w:line="360" w:lineRule="auto"/>
        <w:ind w:firstLine="0"/>
        <w:rPr>
          <w:sz w:val="24"/>
          <w:szCs w:val="24"/>
        </w:rPr>
      </w:pPr>
      <w:r>
        <w:rPr>
          <w:rFonts w:ascii="Times New Roman" w:hAnsi="Times New Roman" w:eastAsia="Times New Roman"/>
          <w:b/>
          <w:i w:val="0"/>
          <w:sz w:val="24"/>
          <w:szCs w:val="24"/>
        </w:rPr>
        <w:t>4. Exploratory Data Analysis</w:t>
      </w:r>
    </w:p>
    <w:p w14:paraId="18ABC509">
      <w:pPr>
        <w:spacing w:before="0" w:after="160" w:line="360" w:lineRule="auto"/>
        <w:ind w:firstLine="720"/>
        <w:rPr>
          <w:sz w:val="22"/>
          <w:szCs w:val="22"/>
        </w:rPr>
      </w:pPr>
      <w:r>
        <w:rPr>
          <w:rFonts w:ascii="Times New Roman" w:hAnsi="Times New Roman" w:eastAsia="Times New Roman"/>
          <w:b w:val="0"/>
          <w:i w:val="0"/>
          <w:sz w:val="22"/>
          <w:szCs w:val="22"/>
        </w:rPr>
        <w:t>Unless noted, every figure uses the 436,541 training snapshots (33,006 patients). The 24-hour label is positive on 3,900 snapshots (0.89%) and the 48-hour label on 6,718 (1.54%). Figure 1 shows that class balance. Accuracy is the wrong metric: a constant “no transfer” rule would be 99.1% accurate. Precision–recall area and recall in the top 10% of scores match the watchlist use case and will be the M4 metrics.</w:t>
      </w:r>
    </w:p>
    <w:p w14:paraId="374CEC0D">
      <w:pPr>
        <w:spacing w:after="40"/>
        <w:ind w:firstLine="0"/>
        <w:jc w:val="center"/>
        <w:rPr>
          <w:sz w:val="22"/>
          <w:szCs w:val="22"/>
        </w:rPr>
      </w:pPr>
      <w:r>
        <w:rPr>
          <w:sz w:val="22"/>
          <w:szCs w:val="22"/>
        </w:rPr>
        <w:drawing>
          <wp:inline distT="0" distB="0" distL="114300" distR="114300">
            <wp:extent cx="5236845" cy="1745615"/>
            <wp:effectExtent l="0" t="0" r="571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36845" cy="1745615"/>
                    </a:xfrm>
                    <a:prstGeom prst="rect">
                      <a:avLst/>
                    </a:prstGeom>
                  </pic:spPr>
                </pic:pic>
              </a:graphicData>
            </a:graphic>
          </wp:inline>
        </w:drawing>
      </w:r>
    </w:p>
    <w:p w14:paraId="4C07EAFF">
      <w:pPr>
        <w:spacing w:before="40" w:after="160" w:line="360" w:lineRule="auto"/>
        <w:ind w:firstLine="0"/>
        <w:jc w:val="left"/>
        <w:rPr>
          <w:sz w:val="18"/>
          <w:szCs w:val="18"/>
        </w:rPr>
      </w:pPr>
      <w:r>
        <w:rPr>
          <w:rFonts w:ascii="Times New Roman" w:hAnsi="Times New Roman" w:eastAsia="Times New Roman"/>
          <w:b w:val="0"/>
          <w:i/>
          <w:sz w:val="18"/>
          <w:szCs w:val="18"/>
        </w:rPr>
        <w:t>Figure 1. Class balance of the 24-hour and 48-hour ICU-transfer labels among 436,541 training snapshots. Positives are 0.89% (24 h) and 1.54% (48 h), so later models must be scored with precision–recall measures rather than accuracy.</w:t>
      </w:r>
    </w:p>
    <w:p w14:paraId="34409A78">
      <w:pPr>
        <w:spacing w:before="0" w:after="160" w:line="360" w:lineRule="auto"/>
        <w:ind w:firstLine="720"/>
        <w:rPr>
          <w:sz w:val="22"/>
          <w:szCs w:val="22"/>
        </w:rPr>
      </w:pPr>
      <w:r>
        <w:rPr>
          <w:rFonts w:ascii="Times New Roman" w:hAnsi="Times New Roman" w:eastAsia="Times New Roman"/>
          <w:b w:val="0"/>
          <w:i w:val="0"/>
          <w:sz w:val="22"/>
          <w:szCs w:val="22"/>
        </w:rPr>
        <w:t>Daily 08:00 snapshots cannot see every transfer. Of 6,060 training admissions with a ward-to-ICU event, 31.3% occur at or before the first morning snapshot, typically because the patient deteriorates within a few hours of arrival (Figure 2; median time to ICU is 29.8 hours, 25th percentile 6.0 hours). Those early events are a coverage limit of the product, not a labeling bug. The watchlist is a morning tool; a separate admission-time score would be needed for the first night.</w:t>
      </w:r>
    </w:p>
    <w:p w14:paraId="7D44B093">
      <w:pPr>
        <w:spacing w:after="40"/>
        <w:ind w:firstLine="0"/>
        <w:jc w:val="center"/>
        <w:rPr>
          <w:sz w:val="22"/>
          <w:szCs w:val="22"/>
        </w:rPr>
      </w:pPr>
      <w:r>
        <w:rPr>
          <w:sz w:val="22"/>
          <w:szCs w:val="22"/>
        </w:rPr>
        <w:drawing>
          <wp:inline distT="0" distB="0" distL="114300" distR="114300">
            <wp:extent cx="3698875" cy="211391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698875" cy="2113915"/>
                    </a:xfrm>
                    <a:prstGeom prst="rect">
                      <a:avLst/>
                    </a:prstGeom>
                  </pic:spPr>
                </pic:pic>
              </a:graphicData>
            </a:graphic>
          </wp:inline>
        </w:drawing>
      </w:r>
    </w:p>
    <w:p w14:paraId="083EE61C">
      <w:pPr>
        <w:spacing w:before="40" w:after="160" w:line="360" w:lineRule="auto"/>
        <w:ind w:firstLine="0"/>
        <w:jc w:val="left"/>
        <w:rPr>
          <w:sz w:val="18"/>
          <w:szCs w:val="18"/>
        </w:rPr>
      </w:pPr>
      <w:r>
        <w:rPr>
          <w:rFonts w:ascii="Times New Roman" w:hAnsi="Times New Roman" w:eastAsia="Times New Roman"/>
          <w:b w:val="0"/>
          <w:i/>
          <w:sz w:val="18"/>
          <w:szCs w:val="18"/>
        </w:rPr>
        <w:t>Figure 2. Hours from admission to first ward-to-ICU transfer among 6,060 training admissions that transfer, on a log time axis. The dashed line is 24 hours. 31.3% of transfers happen before the first 08:00 snapshot, so morning features cannot predict them.</w:t>
      </w:r>
    </w:p>
    <w:p w14:paraId="43037C62">
      <w:pPr>
        <w:spacing w:before="0" w:after="160" w:line="360" w:lineRule="auto"/>
        <w:ind w:firstLine="720"/>
        <w:rPr>
          <w:sz w:val="22"/>
          <w:szCs w:val="22"/>
        </w:rPr>
      </w:pPr>
      <w:r>
        <w:rPr>
          <w:rFonts w:ascii="Times New Roman" w:hAnsi="Times New Roman" w:eastAsia="Times New Roman"/>
          <w:b w:val="0"/>
          <w:i w:val="0"/>
          <w:sz w:val="22"/>
          <w:szCs w:val="22"/>
        </w:rPr>
        <w:t>Among snapshots that do exist, laboratory level tracks the label. Figure 3 bins six last-value labs into deciles on the training split. Transfer rate rises with lactate, BUN, and WBC and falls with albumin, bicarbonate, and platelets, which matches bedside physiology and supports keeping named last values rather than collapsing them into a single severity score.</w:t>
      </w:r>
    </w:p>
    <w:p w14:paraId="119ADAEF">
      <w:pPr>
        <w:spacing w:after="40"/>
        <w:ind w:firstLine="0"/>
        <w:jc w:val="center"/>
        <w:rPr>
          <w:sz w:val="22"/>
          <w:szCs w:val="22"/>
        </w:rPr>
      </w:pPr>
      <w:r>
        <w:rPr>
          <w:sz w:val="22"/>
          <w:szCs w:val="22"/>
        </w:rPr>
        <w:drawing>
          <wp:inline distT="0" distB="0" distL="114300" distR="114300">
            <wp:extent cx="5205730" cy="280289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205730" cy="2802890"/>
                    </a:xfrm>
                    <a:prstGeom prst="rect">
                      <a:avLst/>
                    </a:prstGeom>
                  </pic:spPr>
                </pic:pic>
              </a:graphicData>
            </a:graphic>
          </wp:inline>
        </w:drawing>
      </w:r>
    </w:p>
    <w:p w14:paraId="4154911F">
      <w:pPr>
        <w:spacing w:before="40" w:after="160" w:line="360" w:lineRule="auto"/>
        <w:ind w:firstLine="0"/>
        <w:jc w:val="left"/>
        <w:rPr>
          <w:sz w:val="18"/>
          <w:szCs w:val="18"/>
        </w:rPr>
      </w:pPr>
      <w:r>
        <w:rPr>
          <w:rFonts w:ascii="Times New Roman" w:hAnsi="Times New Roman" w:eastAsia="Times New Roman"/>
          <w:b w:val="0"/>
          <w:i/>
          <w:sz w:val="18"/>
          <w:szCs w:val="18"/>
        </w:rPr>
        <w:t>Figure 3. Twenty-four-hour ICU transfer rate by decile of six last laboratory values in the training split (dashed line: overall 0.89% rate). Higher lactate, BUN, and WBC, and lower albumin, bicarbonate, and platelets, coincide with higher transfer risk and motivate keeping these named labs.</w:t>
      </w:r>
    </w:p>
    <w:p w14:paraId="78381FD7">
      <w:pPr>
        <w:spacing w:before="0" w:after="160" w:line="360" w:lineRule="auto"/>
        <w:ind w:firstLine="720"/>
        <w:rPr>
          <w:sz w:val="22"/>
          <w:szCs w:val="22"/>
        </w:rPr>
      </w:pPr>
      <w:r>
        <w:rPr>
          <w:rFonts w:ascii="Times New Roman" w:hAnsi="Times New Roman" w:eastAsia="Times New Roman"/>
          <w:b w:val="0"/>
          <w:i w:val="0"/>
          <w:sz w:val="22"/>
          <w:szCs w:val="22"/>
        </w:rPr>
        <w:t>Whether a lab was ordered is itself a signal. Figure 4 compares 24-hour transfer rates when a test was measured in the last 24 hours versus when it was not. Lactate was measured in only 3.9% of training snapshots, but the transfer rate is 3.61% when it was measured and 0.78% when it was not. pH and troponin T show the same pattern. Creatinine, which is routine, does not. We therefore keep a 24-hour count for every lab (zero if unordered) and do not impute “normal” into unused blood-gas slots for tree models.</w:t>
      </w:r>
    </w:p>
    <w:p w14:paraId="1D732751">
      <w:pPr>
        <w:spacing w:after="40"/>
        <w:ind w:firstLine="0"/>
        <w:jc w:val="center"/>
        <w:rPr>
          <w:sz w:val="22"/>
          <w:szCs w:val="22"/>
        </w:rPr>
      </w:pPr>
      <w:r>
        <w:rPr>
          <w:sz w:val="22"/>
          <w:szCs w:val="22"/>
        </w:rPr>
        <w:drawing>
          <wp:inline distT="0" distB="0" distL="114300" distR="114300">
            <wp:extent cx="4759960" cy="2379980"/>
            <wp:effectExtent l="0" t="0" r="1016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759960" cy="2379980"/>
                    </a:xfrm>
                    <a:prstGeom prst="rect">
                      <a:avLst/>
                    </a:prstGeom>
                  </pic:spPr>
                </pic:pic>
              </a:graphicData>
            </a:graphic>
          </wp:inline>
        </w:drawing>
      </w:r>
    </w:p>
    <w:p w14:paraId="2ABD150E">
      <w:pPr>
        <w:spacing w:before="40" w:after="160" w:line="360" w:lineRule="auto"/>
        <w:ind w:firstLine="0"/>
        <w:jc w:val="left"/>
        <w:rPr>
          <w:sz w:val="18"/>
          <w:szCs w:val="18"/>
        </w:rPr>
      </w:pPr>
      <w:r>
        <w:rPr>
          <w:rFonts w:ascii="Times New Roman" w:hAnsi="Times New Roman" w:eastAsia="Times New Roman"/>
          <w:b w:val="0"/>
          <w:i/>
          <w:sz w:val="18"/>
          <w:szCs w:val="18"/>
        </w:rPr>
        <w:t>Figure 4. Twenty-four-hour ICU transfer rate in the training split according to whether each lab was measured in the prior 24 hours. For lactate, pH, and troponin T, an order is associated with several-fold higher risk, so missingness is informative rather than noise to be filled.</w:t>
      </w:r>
    </w:p>
    <w:p w14:paraId="6564E4DE">
      <w:pPr>
        <w:spacing w:before="0" w:after="160" w:line="360" w:lineRule="auto"/>
        <w:ind w:firstLine="720"/>
        <w:rPr>
          <w:sz w:val="22"/>
          <w:szCs w:val="22"/>
        </w:rPr>
      </w:pPr>
      <w:r>
        <w:rPr>
          <w:rFonts w:ascii="Times New Roman" w:hAnsi="Times New Roman" w:eastAsia="Times New Roman"/>
          <w:b w:val="0"/>
          <w:i w:val="0"/>
          <w:sz w:val="22"/>
          <w:szCs w:val="22"/>
        </w:rPr>
        <w:t>Among last values, the strongest Spearman associations on a 200,000-row training sample are BUN with creatinine (0.72) and chloride with sodium (0.61). Figure 5 shows the rest of the panel. Correlations are moderate, not collinear, except for the min/max-versus-last redundancy discussed in Section 6. Age and time since admission are only weakly related to the routine labs (Figure 6 in the notebook; Pearson coefficients near zero), so they add complementary information. Transfer risk is highest on day 0–1 (1.38% within 24 hours) and then settles near 0.8% (Figure 6). Ward mix matters: Medicine contributes the most snapshots, while smaller units have different rates, which is why careunit is a feature and why the split is by patient rather than by ward-day.</w:t>
      </w:r>
    </w:p>
    <w:p w14:paraId="02A7DA17">
      <w:pPr>
        <w:spacing w:after="40"/>
        <w:ind w:firstLine="0"/>
        <w:jc w:val="center"/>
        <w:rPr>
          <w:sz w:val="22"/>
          <w:szCs w:val="22"/>
        </w:rPr>
      </w:pPr>
      <w:r>
        <w:rPr>
          <w:sz w:val="22"/>
          <w:szCs w:val="22"/>
        </w:rPr>
        <w:drawing>
          <wp:inline distT="0" distB="0" distL="114300" distR="114300">
            <wp:extent cx="3499485" cy="3112135"/>
            <wp:effectExtent l="0" t="0" r="571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3499485" cy="3112135"/>
                    </a:xfrm>
                    <a:prstGeom prst="rect">
                      <a:avLst/>
                    </a:prstGeom>
                  </pic:spPr>
                </pic:pic>
              </a:graphicData>
            </a:graphic>
          </wp:inline>
        </w:drawing>
      </w:r>
    </w:p>
    <w:p w14:paraId="5785F835">
      <w:pPr>
        <w:spacing w:before="40" w:after="160" w:line="360" w:lineRule="auto"/>
        <w:ind w:firstLine="0"/>
        <w:jc w:val="left"/>
        <w:rPr>
          <w:sz w:val="18"/>
          <w:szCs w:val="18"/>
        </w:rPr>
      </w:pPr>
      <w:r>
        <w:rPr>
          <w:rFonts w:ascii="Times New Roman" w:hAnsi="Times New Roman" w:eastAsia="Times New Roman"/>
          <w:b w:val="0"/>
          <w:i/>
          <w:sz w:val="18"/>
          <w:szCs w:val="18"/>
        </w:rPr>
        <w:t xml:space="preserve">Figure 5. Spearman correlation among last laboratory values on a 200,000-row sample of the training split. The strongest pair is BUN and creatinine (0.72). </w:t>
      </w:r>
      <w:r>
        <w:rPr>
          <w:rFonts w:hint="default"/>
          <w:b w:val="0"/>
          <w:i/>
          <w:sz w:val="18"/>
          <w:szCs w:val="18"/>
          <w:lang w:val="vi-VN"/>
        </w:rPr>
        <w:t>P</w:t>
      </w:r>
      <w:r>
        <w:rPr>
          <w:rFonts w:ascii="Times New Roman" w:hAnsi="Times New Roman" w:eastAsia="Times New Roman"/>
          <w:b w:val="0"/>
          <w:i/>
          <w:sz w:val="18"/>
          <w:szCs w:val="18"/>
        </w:rPr>
        <w:t>anel is only moderately correlated, which later limits how much PCA can compress it (Section 5).</w:t>
      </w:r>
    </w:p>
    <w:p w14:paraId="4A9A3297">
      <w:pPr>
        <w:spacing w:after="40"/>
        <w:ind w:firstLine="0"/>
        <w:jc w:val="center"/>
        <w:rPr>
          <w:rFonts w:hint="default"/>
          <w:sz w:val="22"/>
          <w:szCs w:val="22"/>
          <w:lang w:val="vi-VN"/>
        </w:rPr>
      </w:pPr>
      <w:r>
        <w:rPr>
          <w:rFonts w:hint="default"/>
          <w:sz w:val="22"/>
          <w:szCs w:val="22"/>
          <w:lang w:val="vi-VN"/>
        </w:rPr>
        <w:drawing>
          <wp:inline distT="0" distB="0" distL="114300" distR="114300">
            <wp:extent cx="4624705" cy="1778635"/>
            <wp:effectExtent l="0" t="0" r="8255" b="4445"/>
            <wp:docPr id="12" name="Picture 12" descr="fig6_unit_and_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6_unit_and_day"/>
                    <pic:cNvPicPr>
                      <a:picLocks noChangeAspect="1"/>
                    </pic:cNvPicPr>
                  </pic:nvPicPr>
                  <pic:blipFill>
                    <a:blip r:embed="rId14"/>
                    <a:stretch>
                      <a:fillRect/>
                    </a:stretch>
                  </pic:blipFill>
                  <pic:spPr>
                    <a:xfrm>
                      <a:off x="0" y="0"/>
                      <a:ext cx="4624705" cy="1778635"/>
                    </a:xfrm>
                    <a:prstGeom prst="rect">
                      <a:avLst/>
                    </a:prstGeom>
                  </pic:spPr>
                </pic:pic>
              </a:graphicData>
            </a:graphic>
          </wp:inline>
        </w:drawing>
      </w:r>
    </w:p>
    <w:p w14:paraId="74822141">
      <w:pPr>
        <w:spacing w:before="40" w:after="160" w:line="360" w:lineRule="auto"/>
        <w:ind w:firstLine="0"/>
        <w:jc w:val="left"/>
        <w:rPr>
          <w:sz w:val="18"/>
          <w:szCs w:val="18"/>
        </w:rPr>
      </w:pPr>
      <w:r>
        <w:rPr>
          <w:rFonts w:ascii="Times New Roman" w:hAnsi="Times New Roman" w:eastAsia="Times New Roman"/>
          <w:b w:val="0"/>
          <w:i/>
          <w:sz w:val="18"/>
          <w:szCs w:val="18"/>
        </w:rPr>
        <w:t>Figure 6. Share of training snapshots followed by ICU transfer within 24 hours and 48 hours, by time since admission. Risk is highest in the first hospital day and then declines, which supports hours_since_admit as a feature and cautions against pooling all ward-days as i.i.d. rows.</w:t>
      </w:r>
    </w:p>
    <w:p w14:paraId="6ACA1EC8">
      <w:pPr>
        <w:spacing w:before="240" w:after="120" w:line="360" w:lineRule="auto"/>
        <w:ind w:firstLine="0"/>
        <w:rPr>
          <w:sz w:val="24"/>
          <w:szCs w:val="24"/>
        </w:rPr>
      </w:pPr>
      <w:r>
        <w:rPr>
          <w:rFonts w:ascii="Times New Roman" w:hAnsi="Times New Roman" w:eastAsia="Times New Roman"/>
          <w:b/>
          <w:i w:val="0"/>
          <w:sz w:val="24"/>
          <w:szCs w:val="24"/>
        </w:rPr>
        <w:t>5. Dimension Reduction</w:t>
      </w:r>
    </w:p>
    <w:p w14:paraId="21E0B675">
      <w:pPr>
        <w:keepNext w:val="0"/>
        <w:keepLines w:val="0"/>
        <w:pageBreakBefore w:val="0"/>
        <w:widowControl/>
        <w:kinsoku/>
        <w:wordWrap/>
        <w:overflowPunct/>
        <w:topLinePunct w:val="0"/>
        <w:autoSpaceDE/>
        <w:autoSpaceDN/>
        <w:bidi w:val="0"/>
        <w:adjustRightInd/>
        <w:snapToGrid/>
        <w:spacing w:before="0" w:after="40" w:line="360" w:lineRule="auto"/>
        <w:ind w:firstLine="720"/>
        <w:textAlignment w:val="auto"/>
        <w:rPr>
          <w:sz w:val="22"/>
          <w:szCs w:val="22"/>
        </w:rPr>
      </w:pPr>
      <w:r>
        <w:rPr>
          <w:rFonts w:ascii="Times New Roman" w:hAnsi="Times New Roman" w:eastAsia="Times New Roman"/>
          <w:b w:val="0"/>
          <w:i w:val="0"/>
          <w:sz w:val="22"/>
          <w:szCs w:val="22"/>
        </w:rPr>
        <w:t>PCA was fitted on the training split only, using the latest value of each lab with under 30% missingness: hemoglobin, platelets, WBC, potassium, sodium, creatinine, chloride, BUN, bicarbonate, anion gap, glucose, magnesium, and calcium (13 tests). Rarely ordered tests such as lactate and blood gases were excluded because a median fill would mostly impute a value the clinician never saw. Inputs were median-imputed and standardized on training statistics, then decomposed.</w:t>
      </w:r>
    </w:p>
    <w:p w14:paraId="3FA4366D">
      <w:pPr>
        <w:keepNext w:val="0"/>
        <w:keepLines w:val="0"/>
        <w:pageBreakBefore w:val="0"/>
        <w:widowControl/>
        <w:kinsoku/>
        <w:wordWrap/>
        <w:overflowPunct/>
        <w:topLinePunct w:val="0"/>
        <w:autoSpaceDE/>
        <w:autoSpaceDN/>
        <w:bidi w:val="0"/>
        <w:adjustRightInd/>
        <w:snapToGrid/>
        <w:spacing w:before="0" w:after="40" w:line="360" w:lineRule="auto"/>
        <w:ind w:firstLine="720"/>
        <w:textAlignment w:val="auto"/>
        <w:rPr>
          <w:sz w:val="22"/>
          <w:szCs w:val="22"/>
        </w:rPr>
      </w:pPr>
      <w:r>
        <w:rPr>
          <w:rFonts w:ascii="Times New Roman" w:hAnsi="Times New Roman" w:eastAsia="Times New Roman"/>
          <w:b w:val="0"/>
          <w:i w:val="0"/>
          <w:sz w:val="22"/>
          <w:szCs w:val="22"/>
        </w:rPr>
        <w:t>Eight components are required for 80% of the variance and 10 for 90% (Figure 7). The Kaiser rule (eigenvalue greater than 1) retains 6 components and only 69.7% of the variance. That is little compression: the 13 named labs would be replaced by 8 mixed axes that a bed coordinator cannot read. PC1 is a kidney/metabolic direction (BUN, creatinine, anion gap), which is interpretable, but the remaining components mix unrelated tests. Because Figure 5 already showed only moderate correlation, this result is expected.</w:t>
      </w:r>
    </w:p>
    <w:p w14:paraId="730E8BD7">
      <w:pPr>
        <w:keepNext w:val="0"/>
        <w:keepLines w:val="0"/>
        <w:pageBreakBefore w:val="0"/>
        <w:widowControl/>
        <w:kinsoku/>
        <w:wordWrap/>
        <w:overflowPunct/>
        <w:topLinePunct w:val="0"/>
        <w:autoSpaceDE/>
        <w:autoSpaceDN/>
        <w:bidi w:val="0"/>
        <w:adjustRightInd/>
        <w:snapToGrid/>
        <w:spacing w:before="0" w:after="40" w:line="360" w:lineRule="auto"/>
        <w:ind w:firstLine="720"/>
        <w:textAlignment w:val="auto"/>
        <w:rPr>
          <w:sz w:val="22"/>
          <w:szCs w:val="22"/>
        </w:rPr>
      </w:pPr>
      <w:r>
        <w:rPr>
          <w:rFonts w:ascii="Times New Roman" w:hAnsi="Times New Roman" w:eastAsia="Times New Roman"/>
          <w:b w:val="0"/>
          <w:i w:val="0"/>
          <w:sz w:val="22"/>
          <w:szCs w:val="22"/>
        </w:rPr>
        <w:t>Decision: do not use the principal components as M4 inputs. LightGBM can split on correlated named labs and on missingness natively. Logistic regression will keep the named labs with training-only scaling. The fitted PCA is documented in notebooks/02_pca.ipynb for completeness. A well-reasoned decision not to use the reduced representation is the outcome of this section, not a skipped step.</w:t>
      </w:r>
    </w:p>
    <w:p w14:paraId="0C607757">
      <w:pPr>
        <w:spacing w:after="40"/>
        <w:ind w:firstLine="0"/>
        <w:jc w:val="center"/>
        <w:rPr>
          <w:sz w:val="22"/>
          <w:szCs w:val="22"/>
        </w:rPr>
      </w:pPr>
      <w:r>
        <w:rPr>
          <w:sz w:val="22"/>
          <w:szCs w:val="22"/>
        </w:rPr>
        <w:drawing>
          <wp:inline distT="0" distB="0" distL="114300" distR="114300">
            <wp:extent cx="4309110" cy="2423795"/>
            <wp:effectExtent l="0" t="0" r="381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309110" cy="2423795"/>
                    </a:xfrm>
                    <a:prstGeom prst="rect">
                      <a:avLst/>
                    </a:prstGeom>
                  </pic:spPr>
                </pic:pic>
              </a:graphicData>
            </a:graphic>
          </wp:inline>
        </w:drawing>
      </w:r>
    </w:p>
    <w:p w14:paraId="193F20BC">
      <w:pPr>
        <w:spacing w:before="40" w:after="160" w:line="360" w:lineRule="auto"/>
        <w:ind w:firstLine="0"/>
        <w:jc w:val="left"/>
        <w:rPr>
          <w:sz w:val="18"/>
          <w:szCs w:val="18"/>
        </w:rPr>
      </w:pPr>
      <w:r>
        <w:rPr>
          <w:rFonts w:ascii="Times New Roman" w:hAnsi="Times New Roman" w:eastAsia="Times New Roman"/>
          <w:b w:val="0"/>
          <w:i/>
          <w:sz w:val="18"/>
          <w:szCs w:val="18"/>
        </w:rPr>
        <w:t>Figure 7. Variance explained by principal components of the 13 routine last lab values, fitted on the training split after median imputation and scaling. Eight components reach 80% and 10 reach 90%. Kaiser’s rule keeps 6 components (69.7% of variance). Compression is too small, and the components are harder to explain than named labs, so PCA is not used in the feature set.</w:t>
      </w:r>
    </w:p>
    <w:p w14:paraId="51EE7ACA">
      <w:pPr>
        <w:spacing w:before="240" w:after="120" w:line="360" w:lineRule="auto"/>
        <w:ind w:firstLine="0"/>
        <w:rPr>
          <w:sz w:val="24"/>
          <w:szCs w:val="24"/>
        </w:rPr>
      </w:pPr>
      <w:r>
        <w:rPr>
          <w:rFonts w:ascii="Times New Roman" w:hAnsi="Times New Roman" w:eastAsia="Times New Roman"/>
          <w:b/>
          <w:i w:val="0"/>
          <w:sz w:val="24"/>
          <w:szCs w:val="24"/>
        </w:rPr>
        <w:t>6. Feature Set</w:t>
      </w:r>
    </w:p>
    <w:p w14:paraId="5388CB08">
      <w:pPr>
        <w:spacing w:before="0" w:after="160" w:line="360" w:lineRule="auto"/>
        <w:ind w:firstLine="720"/>
        <w:rPr>
          <w:sz w:val="22"/>
          <w:szCs w:val="22"/>
        </w:rPr>
      </w:pPr>
      <w:r>
        <w:rPr>
          <w:rFonts w:ascii="Times New Roman" w:hAnsi="Times New Roman" w:eastAsia="Times New Roman"/>
          <w:b w:val="0"/>
          <w:i w:val="0"/>
          <w:sz w:val="22"/>
          <w:szCs w:val="22"/>
        </w:rPr>
        <w:t>The modeling table is features.parquet: 96 features known at 08:00, plus identifiers and labels. Every value uses only information released strictly before the snapshot. Labs enter by storetime (result release), not charttime (draw). Diagnoses come only from earlier discharges. Prescriptions use starttime. Snapshots stop at the first ICU entry, discharge, or death; zero snapshots sit at or after ICU entry. Table 3 lists the feature families. Lab columns follow one pattern for each of 21 tests: last value, delta from the previous result, and count of results in the prior 24 hours.</w:t>
      </w:r>
    </w:p>
    <w:p w14:paraId="56A0C55D">
      <w:pPr>
        <w:spacing w:before="120" w:after="80" w:line="360" w:lineRule="auto"/>
        <w:ind w:firstLine="0"/>
        <w:jc w:val="left"/>
        <w:rPr>
          <w:sz w:val="18"/>
          <w:szCs w:val="18"/>
        </w:rPr>
      </w:pPr>
      <w:r>
        <w:rPr>
          <w:rFonts w:ascii="Times New Roman" w:hAnsi="Times New Roman" w:eastAsia="Times New Roman"/>
          <w:b w:val="0"/>
          <w:i/>
          <w:sz w:val="18"/>
          <w:szCs w:val="18"/>
        </w:rPr>
        <w:t xml:space="preserve">Table 3. Feature set for M4. Lab rows stand for 21 tests (creatinine, BUN, sodium, potassium, chloride, bicarbonate, anion gap, magnesium, calcium, glucose, WBC, hemoglobin, platelets, INR, bilirubin, albumin, troponin T, lactate, pH, pO2, pCO2). </w:t>
      </w:r>
    </w:p>
    <w:tbl>
      <w:tblPr>
        <w:tblStyle w:val="38"/>
        <w:tblW w:w="0" w:type="auto"/>
        <w:tblInd w:w="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1296"/>
        <w:gridCol w:w="1440"/>
        <w:gridCol w:w="2160"/>
        <w:gridCol w:w="1836"/>
      </w:tblGrid>
      <w:tr w14:paraId="255F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167A5F9F">
            <w:pPr>
              <w:spacing w:before="0" w:after="0" w:line="276" w:lineRule="auto"/>
              <w:rPr>
                <w:sz w:val="18"/>
                <w:szCs w:val="18"/>
              </w:rPr>
            </w:pPr>
            <w:r>
              <w:rPr>
                <w:rFonts w:ascii="Times New Roman" w:hAnsi="Times New Roman" w:eastAsia="Times New Roman"/>
                <w:b/>
                <w:i w:val="0"/>
                <w:sz w:val="18"/>
                <w:szCs w:val="18"/>
              </w:rPr>
              <w:t>Feature</w:t>
            </w:r>
          </w:p>
        </w:tc>
        <w:tc>
          <w:tcPr>
            <w:tcW w:w="1296" w:type="dxa"/>
          </w:tcPr>
          <w:p w14:paraId="6DE6BC53">
            <w:pPr>
              <w:spacing w:before="0" w:after="0" w:line="276" w:lineRule="auto"/>
              <w:rPr>
                <w:sz w:val="18"/>
                <w:szCs w:val="18"/>
              </w:rPr>
            </w:pPr>
            <w:r>
              <w:rPr>
                <w:rFonts w:ascii="Times New Roman" w:hAnsi="Times New Roman" w:eastAsia="Times New Roman"/>
                <w:b/>
                <w:i w:val="0"/>
                <w:sz w:val="18"/>
                <w:szCs w:val="18"/>
              </w:rPr>
              <w:t>Type</w:t>
            </w:r>
          </w:p>
        </w:tc>
        <w:tc>
          <w:tcPr>
            <w:tcW w:w="1440" w:type="dxa"/>
          </w:tcPr>
          <w:p w14:paraId="3D2DA76E">
            <w:pPr>
              <w:spacing w:before="0" w:after="0" w:line="276" w:lineRule="auto"/>
              <w:rPr>
                <w:sz w:val="18"/>
                <w:szCs w:val="18"/>
              </w:rPr>
            </w:pPr>
            <w:r>
              <w:rPr>
                <w:rFonts w:ascii="Times New Roman" w:hAnsi="Times New Roman" w:eastAsia="Times New Roman"/>
                <w:b/>
                <w:i w:val="0"/>
                <w:sz w:val="18"/>
                <w:szCs w:val="18"/>
              </w:rPr>
              <w:t>Origin</w:t>
            </w:r>
          </w:p>
        </w:tc>
        <w:tc>
          <w:tcPr>
            <w:tcW w:w="2160" w:type="dxa"/>
          </w:tcPr>
          <w:p w14:paraId="30E4FF29">
            <w:pPr>
              <w:spacing w:before="0" w:after="0" w:line="276" w:lineRule="auto"/>
              <w:rPr>
                <w:sz w:val="18"/>
                <w:szCs w:val="18"/>
              </w:rPr>
            </w:pPr>
            <w:r>
              <w:rPr>
                <w:rFonts w:ascii="Times New Roman" w:hAnsi="Times New Roman" w:eastAsia="Times New Roman"/>
                <w:b/>
                <w:i w:val="0"/>
                <w:sz w:val="18"/>
                <w:szCs w:val="18"/>
              </w:rPr>
              <w:t>Transformation</w:t>
            </w:r>
          </w:p>
        </w:tc>
        <w:tc>
          <w:tcPr>
            <w:tcW w:w="1836" w:type="dxa"/>
          </w:tcPr>
          <w:p w14:paraId="1780795B">
            <w:pPr>
              <w:spacing w:before="0" w:after="0" w:line="276" w:lineRule="auto"/>
              <w:rPr>
                <w:sz w:val="18"/>
                <w:szCs w:val="18"/>
              </w:rPr>
            </w:pPr>
            <w:r>
              <w:rPr>
                <w:rFonts w:ascii="Times New Roman" w:hAnsi="Times New Roman" w:eastAsia="Times New Roman"/>
                <w:b/>
                <w:i w:val="0"/>
                <w:sz w:val="18"/>
                <w:szCs w:val="18"/>
              </w:rPr>
              <w:t>Reason for inclusion</w:t>
            </w:r>
          </w:p>
        </w:tc>
      </w:tr>
      <w:tr w14:paraId="7F8A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243956AD">
            <w:pPr>
              <w:spacing w:before="0" w:after="0" w:line="276" w:lineRule="auto"/>
              <w:rPr>
                <w:sz w:val="18"/>
                <w:szCs w:val="18"/>
              </w:rPr>
            </w:pPr>
            <w:r>
              <w:rPr>
                <w:rFonts w:ascii="Times New Roman" w:hAnsi="Times New Roman" w:eastAsia="Times New Roman"/>
                <w:b w:val="0"/>
                <w:i w:val="0"/>
                <w:sz w:val="18"/>
                <w:szCs w:val="18"/>
              </w:rPr>
              <w:t>age, gender_male</w:t>
            </w:r>
          </w:p>
        </w:tc>
        <w:tc>
          <w:tcPr>
            <w:tcW w:w="1296" w:type="dxa"/>
          </w:tcPr>
          <w:p w14:paraId="58E54ACA">
            <w:pPr>
              <w:spacing w:before="0" w:after="0" w:line="276" w:lineRule="auto"/>
              <w:rPr>
                <w:sz w:val="18"/>
                <w:szCs w:val="18"/>
              </w:rPr>
            </w:pPr>
            <w:r>
              <w:rPr>
                <w:rFonts w:ascii="Times New Roman" w:hAnsi="Times New Roman" w:eastAsia="Times New Roman"/>
                <w:b w:val="0"/>
                <w:i w:val="0"/>
                <w:sz w:val="18"/>
                <w:szCs w:val="18"/>
              </w:rPr>
              <w:t>numeric</w:t>
            </w:r>
          </w:p>
        </w:tc>
        <w:tc>
          <w:tcPr>
            <w:tcW w:w="1440" w:type="dxa"/>
          </w:tcPr>
          <w:p w14:paraId="43E6FFE7">
            <w:pPr>
              <w:spacing w:before="0" w:after="0" w:line="276" w:lineRule="auto"/>
              <w:rPr>
                <w:sz w:val="18"/>
                <w:szCs w:val="18"/>
              </w:rPr>
            </w:pPr>
            <w:r>
              <w:rPr>
                <w:rFonts w:ascii="Times New Roman" w:hAnsi="Times New Roman" w:eastAsia="Times New Roman"/>
                <w:b w:val="0"/>
                <w:i w:val="0"/>
                <w:sz w:val="18"/>
                <w:szCs w:val="18"/>
              </w:rPr>
              <w:t>raw</w:t>
            </w:r>
          </w:p>
        </w:tc>
        <w:tc>
          <w:tcPr>
            <w:tcW w:w="2160" w:type="dxa"/>
          </w:tcPr>
          <w:p w14:paraId="1806C138">
            <w:pPr>
              <w:spacing w:before="0" w:after="0" w:line="276" w:lineRule="auto"/>
              <w:rPr>
                <w:sz w:val="18"/>
                <w:szCs w:val="18"/>
              </w:rPr>
            </w:pPr>
            <w:r>
              <w:rPr>
                <w:rFonts w:ascii="Times New Roman" w:hAnsi="Times New Roman" w:eastAsia="Times New Roman"/>
                <w:b w:val="0"/>
                <w:i w:val="0"/>
                <w:sz w:val="18"/>
                <w:szCs w:val="18"/>
              </w:rPr>
              <w:t>age in years; male = 1</w:t>
            </w:r>
          </w:p>
        </w:tc>
        <w:tc>
          <w:tcPr>
            <w:tcW w:w="1836" w:type="dxa"/>
          </w:tcPr>
          <w:p w14:paraId="43FDD543">
            <w:pPr>
              <w:spacing w:before="0" w:after="0" w:line="276" w:lineRule="auto"/>
              <w:rPr>
                <w:sz w:val="18"/>
                <w:szCs w:val="18"/>
              </w:rPr>
            </w:pPr>
            <w:r>
              <w:rPr>
                <w:rFonts w:ascii="Times New Roman" w:hAnsi="Times New Roman" w:eastAsia="Times New Roman"/>
                <w:b w:val="0"/>
                <w:i w:val="0"/>
                <w:sz w:val="18"/>
                <w:szCs w:val="18"/>
              </w:rPr>
              <w:t>Risk rises with age in training (Section 4)</w:t>
            </w:r>
          </w:p>
        </w:tc>
      </w:tr>
      <w:tr w14:paraId="0D11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42C68195">
            <w:pPr>
              <w:spacing w:before="0" w:after="0" w:line="276" w:lineRule="auto"/>
              <w:rPr>
                <w:sz w:val="18"/>
                <w:szCs w:val="18"/>
              </w:rPr>
            </w:pPr>
            <w:r>
              <w:rPr>
                <w:rFonts w:ascii="Times New Roman" w:hAnsi="Times New Roman" w:eastAsia="Times New Roman"/>
                <w:b w:val="0"/>
                <w:i w:val="0"/>
                <w:sz w:val="18"/>
                <w:szCs w:val="18"/>
              </w:rPr>
              <w:t>admission_type, admission_location</w:t>
            </w:r>
          </w:p>
        </w:tc>
        <w:tc>
          <w:tcPr>
            <w:tcW w:w="1296" w:type="dxa"/>
          </w:tcPr>
          <w:p w14:paraId="68DE8661">
            <w:pPr>
              <w:spacing w:before="0" w:after="0" w:line="276" w:lineRule="auto"/>
              <w:rPr>
                <w:sz w:val="18"/>
                <w:szCs w:val="18"/>
              </w:rPr>
            </w:pPr>
            <w:r>
              <w:rPr>
                <w:rFonts w:ascii="Times New Roman" w:hAnsi="Times New Roman" w:eastAsia="Times New Roman"/>
                <w:b w:val="0"/>
                <w:i w:val="0"/>
                <w:sz w:val="18"/>
                <w:szCs w:val="18"/>
              </w:rPr>
              <w:t>categorical</w:t>
            </w:r>
          </w:p>
        </w:tc>
        <w:tc>
          <w:tcPr>
            <w:tcW w:w="1440" w:type="dxa"/>
          </w:tcPr>
          <w:p w14:paraId="02FEBC0B">
            <w:pPr>
              <w:spacing w:before="0" w:after="0" w:line="276" w:lineRule="auto"/>
              <w:rPr>
                <w:sz w:val="18"/>
                <w:szCs w:val="18"/>
              </w:rPr>
            </w:pPr>
            <w:r>
              <w:rPr>
                <w:rFonts w:ascii="Times New Roman" w:hAnsi="Times New Roman" w:eastAsia="Times New Roman"/>
                <w:b w:val="0"/>
                <w:i w:val="0"/>
                <w:sz w:val="18"/>
                <w:szCs w:val="18"/>
              </w:rPr>
              <w:t>raw</w:t>
            </w:r>
          </w:p>
        </w:tc>
        <w:tc>
          <w:tcPr>
            <w:tcW w:w="2160" w:type="dxa"/>
          </w:tcPr>
          <w:p w14:paraId="24367194">
            <w:pPr>
              <w:spacing w:before="0" w:after="0" w:line="276" w:lineRule="auto"/>
              <w:rPr>
                <w:sz w:val="18"/>
                <w:szCs w:val="18"/>
              </w:rPr>
            </w:pPr>
            <w:r>
              <w:rPr>
                <w:rFonts w:ascii="Times New Roman" w:hAnsi="Times New Roman" w:eastAsia="Times New Roman"/>
                <w:b w:val="0"/>
                <w:i w:val="0"/>
                <w:sz w:val="18"/>
                <w:szCs w:val="18"/>
              </w:rPr>
              <w:t>train-level categories; one-hot for linear models</w:t>
            </w:r>
          </w:p>
        </w:tc>
        <w:tc>
          <w:tcPr>
            <w:tcW w:w="1836" w:type="dxa"/>
          </w:tcPr>
          <w:p w14:paraId="6DB9AD4D">
            <w:pPr>
              <w:spacing w:before="0" w:after="0" w:line="276" w:lineRule="auto"/>
              <w:rPr>
                <w:sz w:val="18"/>
                <w:szCs w:val="18"/>
              </w:rPr>
            </w:pPr>
            <w:r>
              <w:rPr>
                <w:rFonts w:ascii="Times New Roman" w:hAnsi="Times New Roman" w:eastAsia="Times New Roman"/>
                <w:b w:val="0"/>
                <w:i w:val="0"/>
                <w:sz w:val="18"/>
                <w:szCs w:val="18"/>
              </w:rPr>
              <w:t>Emergency versus observation pathways differ</w:t>
            </w:r>
          </w:p>
        </w:tc>
      </w:tr>
      <w:tr w14:paraId="0900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553D9D37">
            <w:pPr>
              <w:spacing w:before="0" w:after="0" w:line="276" w:lineRule="auto"/>
              <w:rPr>
                <w:sz w:val="18"/>
                <w:szCs w:val="18"/>
              </w:rPr>
            </w:pPr>
            <w:r>
              <w:rPr>
                <w:rFonts w:ascii="Times New Roman" w:hAnsi="Times New Roman" w:eastAsia="Times New Roman"/>
                <w:b w:val="0"/>
                <w:i w:val="0"/>
                <w:sz w:val="18"/>
                <w:szCs w:val="18"/>
              </w:rPr>
              <w:t>careunit</w:t>
            </w:r>
          </w:p>
        </w:tc>
        <w:tc>
          <w:tcPr>
            <w:tcW w:w="1296" w:type="dxa"/>
          </w:tcPr>
          <w:p w14:paraId="15A467CE">
            <w:pPr>
              <w:spacing w:before="0" w:after="0" w:line="276" w:lineRule="auto"/>
              <w:rPr>
                <w:sz w:val="18"/>
                <w:szCs w:val="18"/>
              </w:rPr>
            </w:pPr>
            <w:r>
              <w:rPr>
                <w:rFonts w:ascii="Times New Roman" w:hAnsi="Times New Roman" w:eastAsia="Times New Roman"/>
                <w:b w:val="0"/>
                <w:i w:val="0"/>
                <w:sz w:val="18"/>
                <w:szCs w:val="18"/>
              </w:rPr>
              <w:t>categorical</w:t>
            </w:r>
          </w:p>
        </w:tc>
        <w:tc>
          <w:tcPr>
            <w:tcW w:w="1440" w:type="dxa"/>
          </w:tcPr>
          <w:p w14:paraId="3BEB747B">
            <w:pPr>
              <w:spacing w:before="0" w:after="0" w:line="276" w:lineRule="auto"/>
              <w:rPr>
                <w:sz w:val="18"/>
                <w:szCs w:val="18"/>
              </w:rPr>
            </w:pPr>
            <w:r>
              <w:rPr>
                <w:rFonts w:ascii="Times New Roman" w:hAnsi="Times New Roman" w:eastAsia="Times New Roman"/>
                <w:b w:val="0"/>
                <w:i w:val="0"/>
                <w:sz w:val="18"/>
                <w:szCs w:val="18"/>
              </w:rPr>
              <w:t>raw</w:t>
            </w:r>
          </w:p>
        </w:tc>
        <w:tc>
          <w:tcPr>
            <w:tcW w:w="2160" w:type="dxa"/>
          </w:tcPr>
          <w:p w14:paraId="5A3FCA6D">
            <w:pPr>
              <w:spacing w:before="0" w:after="0" w:line="276" w:lineRule="auto"/>
              <w:rPr>
                <w:sz w:val="18"/>
                <w:szCs w:val="18"/>
              </w:rPr>
            </w:pPr>
            <w:r>
              <w:rPr>
                <w:rFonts w:ascii="Times New Roman" w:hAnsi="Times New Roman" w:eastAsia="Times New Roman"/>
                <w:b w:val="0"/>
                <w:i w:val="0"/>
                <w:sz w:val="18"/>
                <w:szCs w:val="18"/>
              </w:rPr>
              <w:t>train-level categories</w:t>
            </w:r>
          </w:p>
        </w:tc>
        <w:tc>
          <w:tcPr>
            <w:tcW w:w="1836" w:type="dxa"/>
          </w:tcPr>
          <w:p w14:paraId="60112803">
            <w:pPr>
              <w:spacing w:before="0" w:after="0" w:line="276" w:lineRule="auto"/>
              <w:rPr>
                <w:sz w:val="18"/>
                <w:szCs w:val="18"/>
              </w:rPr>
            </w:pPr>
            <w:r>
              <w:rPr>
                <w:rFonts w:ascii="Times New Roman" w:hAnsi="Times New Roman" w:eastAsia="Times New Roman"/>
                <w:b w:val="0"/>
                <w:i w:val="0"/>
                <w:sz w:val="18"/>
                <w:szCs w:val="18"/>
              </w:rPr>
              <w:t>Transfer rates differ by ward (Section 4)</w:t>
            </w:r>
          </w:p>
        </w:tc>
      </w:tr>
      <w:tr w14:paraId="3B9DB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09100931">
            <w:pPr>
              <w:spacing w:before="0" w:after="0" w:line="276" w:lineRule="auto"/>
              <w:rPr>
                <w:sz w:val="18"/>
                <w:szCs w:val="18"/>
              </w:rPr>
            </w:pPr>
            <w:r>
              <w:rPr>
                <w:rFonts w:ascii="Times New Roman" w:hAnsi="Times New Roman" w:eastAsia="Times New Roman"/>
                <w:b w:val="0"/>
                <w:i w:val="0"/>
                <w:sz w:val="18"/>
                <w:szCs w:val="18"/>
              </w:rPr>
              <w:t>hours_since_admit</w:t>
            </w:r>
          </w:p>
        </w:tc>
        <w:tc>
          <w:tcPr>
            <w:tcW w:w="1296" w:type="dxa"/>
          </w:tcPr>
          <w:p w14:paraId="78FB967D">
            <w:pPr>
              <w:spacing w:before="0" w:after="0" w:line="276" w:lineRule="auto"/>
              <w:rPr>
                <w:sz w:val="18"/>
                <w:szCs w:val="18"/>
              </w:rPr>
            </w:pPr>
            <w:r>
              <w:rPr>
                <w:rFonts w:ascii="Times New Roman" w:hAnsi="Times New Roman" w:eastAsia="Times New Roman"/>
                <w:b w:val="0"/>
                <w:i w:val="0"/>
                <w:sz w:val="18"/>
                <w:szCs w:val="18"/>
              </w:rPr>
              <w:t>numeric</w:t>
            </w:r>
          </w:p>
        </w:tc>
        <w:tc>
          <w:tcPr>
            <w:tcW w:w="1440" w:type="dxa"/>
          </w:tcPr>
          <w:p w14:paraId="25F58C96">
            <w:pPr>
              <w:spacing w:before="0" w:after="0" w:line="276" w:lineRule="auto"/>
              <w:rPr>
                <w:sz w:val="18"/>
                <w:szCs w:val="18"/>
              </w:rPr>
            </w:pPr>
            <w:r>
              <w:rPr>
                <w:rFonts w:ascii="Times New Roman" w:hAnsi="Times New Roman" w:eastAsia="Times New Roman"/>
                <w:b w:val="0"/>
                <w:i w:val="0"/>
                <w:sz w:val="18"/>
                <w:szCs w:val="18"/>
              </w:rPr>
              <w:t>engineered</w:t>
            </w:r>
          </w:p>
        </w:tc>
        <w:tc>
          <w:tcPr>
            <w:tcW w:w="2160" w:type="dxa"/>
          </w:tcPr>
          <w:p w14:paraId="05468E54">
            <w:pPr>
              <w:spacing w:before="0" w:after="0" w:line="276" w:lineRule="auto"/>
              <w:rPr>
                <w:sz w:val="18"/>
                <w:szCs w:val="18"/>
              </w:rPr>
            </w:pPr>
            <w:r>
              <w:rPr>
                <w:rFonts w:ascii="Times New Roman" w:hAnsi="Times New Roman" w:eastAsia="Times New Roman"/>
                <w:b w:val="0"/>
                <w:i w:val="0"/>
                <w:sz w:val="18"/>
                <w:szCs w:val="18"/>
              </w:rPr>
              <w:t>hours from admittime to 08:00</w:t>
            </w:r>
          </w:p>
        </w:tc>
        <w:tc>
          <w:tcPr>
            <w:tcW w:w="1836" w:type="dxa"/>
          </w:tcPr>
          <w:p w14:paraId="55959BC6">
            <w:pPr>
              <w:spacing w:before="0" w:after="0" w:line="276" w:lineRule="auto"/>
              <w:rPr>
                <w:sz w:val="18"/>
                <w:szCs w:val="18"/>
              </w:rPr>
            </w:pPr>
            <w:r>
              <w:rPr>
                <w:rFonts w:ascii="Times New Roman" w:hAnsi="Times New Roman" w:eastAsia="Times New Roman"/>
                <w:b w:val="0"/>
                <w:i w:val="0"/>
                <w:sz w:val="18"/>
                <w:szCs w:val="18"/>
              </w:rPr>
              <w:t>Highest risk on day 0–1 (Figure 6)</w:t>
            </w:r>
          </w:p>
        </w:tc>
      </w:tr>
      <w:tr w14:paraId="2127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51282144">
            <w:pPr>
              <w:spacing w:before="0" w:after="0" w:line="276" w:lineRule="auto"/>
              <w:rPr>
                <w:sz w:val="18"/>
                <w:szCs w:val="18"/>
              </w:rPr>
            </w:pPr>
            <w:r>
              <w:rPr>
                <w:rFonts w:ascii="Times New Roman" w:hAnsi="Times New Roman" w:eastAsia="Times New Roman"/>
                <w:b w:val="0"/>
                <w:i w:val="0"/>
                <w:sz w:val="18"/>
                <w:szCs w:val="18"/>
              </w:rPr>
              <w:t>days_since_prev_disch, n_prior_adm_365d, n_prior_adm_total</w:t>
            </w:r>
          </w:p>
        </w:tc>
        <w:tc>
          <w:tcPr>
            <w:tcW w:w="1296" w:type="dxa"/>
          </w:tcPr>
          <w:p w14:paraId="05709425">
            <w:pPr>
              <w:spacing w:before="0" w:after="0" w:line="276" w:lineRule="auto"/>
              <w:rPr>
                <w:sz w:val="18"/>
                <w:szCs w:val="18"/>
              </w:rPr>
            </w:pPr>
            <w:r>
              <w:rPr>
                <w:rFonts w:ascii="Times New Roman" w:hAnsi="Times New Roman" w:eastAsia="Times New Roman"/>
                <w:b w:val="0"/>
                <w:i w:val="0"/>
                <w:sz w:val="18"/>
                <w:szCs w:val="18"/>
              </w:rPr>
              <w:t>numeric</w:t>
            </w:r>
          </w:p>
        </w:tc>
        <w:tc>
          <w:tcPr>
            <w:tcW w:w="1440" w:type="dxa"/>
          </w:tcPr>
          <w:p w14:paraId="220572E9">
            <w:pPr>
              <w:spacing w:before="0" w:after="0" w:line="276" w:lineRule="auto"/>
              <w:rPr>
                <w:sz w:val="18"/>
                <w:szCs w:val="18"/>
              </w:rPr>
            </w:pPr>
            <w:r>
              <w:rPr>
                <w:rFonts w:ascii="Times New Roman" w:hAnsi="Times New Roman" w:eastAsia="Times New Roman"/>
                <w:b w:val="0"/>
                <w:i w:val="0"/>
                <w:sz w:val="18"/>
                <w:szCs w:val="18"/>
              </w:rPr>
              <w:t>engineered</w:t>
            </w:r>
          </w:p>
        </w:tc>
        <w:tc>
          <w:tcPr>
            <w:tcW w:w="2160" w:type="dxa"/>
          </w:tcPr>
          <w:p w14:paraId="2C82D209">
            <w:pPr>
              <w:spacing w:before="0" w:after="0" w:line="276" w:lineRule="auto"/>
              <w:rPr>
                <w:sz w:val="18"/>
                <w:szCs w:val="18"/>
              </w:rPr>
            </w:pPr>
            <w:r>
              <w:rPr>
                <w:rFonts w:ascii="Times New Roman" w:hAnsi="Times New Roman" w:eastAsia="Times New Roman"/>
                <w:b w:val="0"/>
                <w:i w:val="0"/>
                <w:sz w:val="18"/>
                <w:szCs w:val="18"/>
              </w:rPr>
              <w:t>prior stays ending before this admit</w:t>
            </w:r>
          </w:p>
        </w:tc>
        <w:tc>
          <w:tcPr>
            <w:tcW w:w="1836" w:type="dxa"/>
          </w:tcPr>
          <w:p w14:paraId="3C3A5323">
            <w:pPr>
              <w:spacing w:before="0" w:after="0" w:line="276" w:lineRule="auto"/>
              <w:rPr>
                <w:sz w:val="18"/>
                <w:szCs w:val="18"/>
              </w:rPr>
            </w:pPr>
            <w:r>
              <w:rPr>
                <w:rFonts w:ascii="Times New Roman" w:hAnsi="Times New Roman" w:eastAsia="Times New Roman"/>
                <w:b w:val="0"/>
                <w:i w:val="0"/>
                <w:sz w:val="18"/>
                <w:szCs w:val="18"/>
              </w:rPr>
              <w:t>Defines the frequent-admission population</w:t>
            </w:r>
          </w:p>
        </w:tc>
      </w:tr>
      <w:tr w14:paraId="43B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540B44DB">
            <w:pPr>
              <w:spacing w:before="0" w:after="0" w:line="276" w:lineRule="auto"/>
              <w:rPr>
                <w:sz w:val="18"/>
                <w:szCs w:val="18"/>
              </w:rPr>
            </w:pPr>
            <w:r>
              <w:rPr>
                <w:rFonts w:ascii="Times New Roman" w:hAnsi="Times New Roman" w:eastAsia="Times New Roman"/>
                <w:b w:val="0"/>
                <w:i w:val="0"/>
                <w:sz w:val="18"/>
                <w:szCs w:val="18"/>
              </w:rPr>
              <w:t>prior_icu_any, prev_los_days</w:t>
            </w:r>
          </w:p>
        </w:tc>
        <w:tc>
          <w:tcPr>
            <w:tcW w:w="1296" w:type="dxa"/>
          </w:tcPr>
          <w:p w14:paraId="289D89E3">
            <w:pPr>
              <w:spacing w:before="0" w:after="0" w:line="276" w:lineRule="auto"/>
              <w:rPr>
                <w:sz w:val="18"/>
                <w:szCs w:val="18"/>
              </w:rPr>
            </w:pPr>
            <w:r>
              <w:rPr>
                <w:rFonts w:ascii="Times New Roman" w:hAnsi="Times New Roman" w:eastAsia="Times New Roman"/>
                <w:b w:val="0"/>
                <w:i w:val="0"/>
                <w:sz w:val="18"/>
                <w:szCs w:val="18"/>
              </w:rPr>
              <w:t>numeric</w:t>
            </w:r>
          </w:p>
        </w:tc>
        <w:tc>
          <w:tcPr>
            <w:tcW w:w="1440" w:type="dxa"/>
          </w:tcPr>
          <w:p w14:paraId="04E70EAA">
            <w:pPr>
              <w:spacing w:before="0" w:after="0" w:line="276" w:lineRule="auto"/>
              <w:rPr>
                <w:sz w:val="18"/>
                <w:szCs w:val="18"/>
              </w:rPr>
            </w:pPr>
            <w:r>
              <w:rPr>
                <w:rFonts w:ascii="Times New Roman" w:hAnsi="Times New Roman" w:eastAsia="Times New Roman"/>
                <w:b w:val="0"/>
                <w:i w:val="0"/>
                <w:sz w:val="18"/>
                <w:szCs w:val="18"/>
              </w:rPr>
              <w:t>engineered</w:t>
            </w:r>
          </w:p>
        </w:tc>
        <w:tc>
          <w:tcPr>
            <w:tcW w:w="2160" w:type="dxa"/>
          </w:tcPr>
          <w:p w14:paraId="30563953">
            <w:pPr>
              <w:spacing w:before="0" w:after="0" w:line="276" w:lineRule="auto"/>
              <w:rPr>
                <w:sz w:val="18"/>
                <w:szCs w:val="18"/>
              </w:rPr>
            </w:pPr>
            <w:r>
              <w:rPr>
                <w:rFonts w:ascii="Times New Roman" w:hAnsi="Times New Roman" w:eastAsia="Times New Roman"/>
                <w:b w:val="0"/>
                <w:i w:val="0"/>
                <w:sz w:val="18"/>
                <w:szCs w:val="18"/>
              </w:rPr>
              <w:t>from earlier admissions only</w:t>
            </w:r>
          </w:p>
        </w:tc>
        <w:tc>
          <w:tcPr>
            <w:tcW w:w="1836" w:type="dxa"/>
          </w:tcPr>
          <w:p w14:paraId="4C9DE2E5">
            <w:pPr>
              <w:spacing w:before="0" w:after="0" w:line="276" w:lineRule="auto"/>
              <w:rPr>
                <w:sz w:val="18"/>
                <w:szCs w:val="18"/>
              </w:rPr>
            </w:pPr>
            <w:r>
              <w:rPr>
                <w:rFonts w:ascii="Times New Roman" w:hAnsi="Times New Roman" w:eastAsia="Times New Roman"/>
                <w:b w:val="0"/>
                <w:i w:val="0"/>
                <w:sz w:val="18"/>
                <w:szCs w:val="18"/>
              </w:rPr>
              <w:t>Prior ICU and length of stay are known at arrival</w:t>
            </w:r>
          </w:p>
        </w:tc>
      </w:tr>
      <w:tr w14:paraId="3670B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26486BC6">
            <w:pPr>
              <w:spacing w:before="0" w:after="0" w:line="276" w:lineRule="auto"/>
              <w:rPr>
                <w:sz w:val="18"/>
                <w:szCs w:val="18"/>
              </w:rPr>
            </w:pPr>
            <w:r>
              <w:rPr>
                <w:rFonts w:ascii="Times New Roman" w:hAnsi="Times New Roman" w:eastAsia="Times New Roman"/>
                <w:b w:val="0"/>
                <w:i w:val="0"/>
                <w:sz w:val="18"/>
                <w:szCs w:val="18"/>
              </w:rPr>
              <w:t>hx_chf, hx_copd, hx_ckd, hx_diabetes, hx_cancer, hx_liver, hx_sepsis</w:t>
            </w:r>
          </w:p>
        </w:tc>
        <w:tc>
          <w:tcPr>
            <w:tcW w:w="1296" w:type="dxa"/>
          </w:tcPr>
          <w:p w14:paraId="31E7CDD4">
            <w:pPr>
              <w:spacing w:before="0" w:after="0" w:line="276" w:lineRule="auto"/>
              <w:rPr>
                <w:sz w:val="18"/>
                <w:szCs w:val="18"/>
              </w:rPr>
            </w:pPr>
            <w:r>
              <w:rPr>
                <w:rFonts w:ascii="Times New Roman" w:hAnsi="Times New Roman" w:eastAsia="Times New Roman"/>
                <w:b w:val="0"/>
                <w:i w:val="0"/>
                <w:sz w:val="18"/>
                <w:szCs w:val="18"/>
              </w:rPr>
              <w:t>binary</w:t>
            </w:r>
          </w:p>
        </w:tc>
        <w:tc>
          <w:tcPr>
            <w:tcW w:w="1440" w:type="dxa"/>
          </w:tcPr>
          <w:p w14:paraId="79AA9532">
            <w:pPr>
              <w:spacing w:before="0" w:after="0" w:line="276" w:lineRule="auto"/>
              <w:rPr>
                <w:sz w:val="18"/>
                <w:szCs w:val="18"/>
              </w:rPr>
            </w:pPr>
            <w:r>
              <w:rPr>
                <w:rFonts w:ascii="Times New Roman" w:hAnsi="Times New Roman" w:eastAsia="Times New Roman"/>
                <w:b w:val="0"/>
                <w:i w:val="0"/>
                <w:sz w:val="18"/>
                <w:szCs w:val="18"/>
              </w:rPr>
              <w:t>engineered</w:t>
            </w:r>
          </w:p>
        </w:tc>
        <w:tc>
          <w:tcPr>
            <w:tcW w:w="2160" w:type="dxa"/>
          </w:tcPr>
          <w:p w14:paraId="5CDB2E0D">
            <w:pPr>
              <w:spacing w:before="0" w:after="0" w:line="276" w:lineRule="auto"/>
              <w:rPr>
                <w:sz w:val="18"/>
                <w:szCs w:val="18"/>
              </w:rPr>
            </w:pPr>
            <w:r>
              <w:rPr>
                <w:rFonts w:ascii="Times New Roman" w:hAnsi="Times New Roman" w:eastAsia="Times New Roman"/>
                <w:b w:val="0"/>
                <w:i w:val="0"/>
                <w:sz w:val="18"/>
                <w:szCs w:val="18"/>
              </w:rPr>
              <w:t>ICD-9/10 prefixes on earlier discharges</w:t>
            </w:r>
          </w:p>
        </w:tc>
        <w:tc>
          <w:tcPr>
            <w:tcW w:w="1836" w:type="dxa"/>
          </w:tcPr>
          <w:p w14:paraId="55F21787">
            <w:pPr>
              <w:spacing w:before="0" w:after="0" w:line="276" w:lineRule="auto"/>
              <w:rPr>
                <w:sz w:val="18"/>
                <w:szCs w:val="18"/>
              </w:rPr>
            </w:pPr>
            <w:r>
              <w:rPr>
                <w:rFonts w:ascii="Times New Roman" w:hAnsi="Times New Roman" w:eastAsia="Times New Roman"/>
                <w:b w:val="0"/>
                <w:i w:val="0"/>
                <w:sz w:val="18"/>
                <w:szCs w:val="18"/>
              </w:rPr>
              <w:t>Comorbidity coded only after a prior discharge, so no leakage</w:t>
            </w:r>
          </w:p>
        </w:tc>
      </w:tr>
      <w:tr w14:paraId="09E0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337B02FF">
            <w:pPr>
              <w:spacing w:before="0" w:after="0" w:line="276" w:lineRule="auto"/>
              <w:rPr>
                <w:sz w:val="18"/>
                <w:szCs w:val="18"/>
              </w:rPr>
            </w:pPr>
            <w:r>
              <w:rPr>
                <w:rFonts w:ascii="Times New Roman" w:hAnsi="Times New Roman" w:eastAsia="Times New Roman"/>
                <w:b w:val="0"/>
                <w:i w:val="0"/>
                <w:sz w:val="18"/>
                <w:szCs w:val="18"/>
              </w:rPr>
              <w:t>omr_sbp, omr_dbp, omr_bmi, omr_weight_lbs</w:t>
            </w:r>
          </w:p>
        </w:tc>
        <w:tc>
          <w:tcPr>
            <w:tcW w:w="1296" w:type="dxa"/>
          </w:tcPr>
          <w:p w14:paraId="06A48D23">
            <w:pPr>
              <w:spacing w:before="0" w:after="0" w:line="276" w:lineRule="auto"/>
              <w:rPr>
                <w:sz w:val="18"/>
                <w:szCs w:val="18"/>
              </w:rPr>
            </w:pPr>
            <w:r>
              <w:rPr>
                <w:rFonts w:ascii="Times New Roman" w:hAnsi="Times New Roman" w:eastAsia="Times New Roman"/>
                <w:b w:val="0"/>
                <w:i w:val="0"/>
                <w:sz w:val="18"/>
                <w:szCs w:val="18"/>
              </w:rPr>
              <w:t>numeric</w:t>
            </w:r>
          </w:p>
        </w:tc>
        <w:tc>
          <w:tcPr>
            <w:tcW w:w="1440" w:type="dxa"/>
          </w:tcPr>
          <w:p w14:paraId="78B04F88">
            <w:pPr>
              <w:spacing w:before="0" w:after="0" w:line="276" w:lineRule="auto"/>
              <w:rPr>
                <w:sz w:val="18"/>
                <w:szCs w:val="18"/>
              </w:rPr>
            </w:pPr>
            <w:r>
              <w:rPr>
                <w:rFonts w:ascii="Times New Roman" w:hAnsi="Times New Roman" w:eastAsia="Times New Roman"/>
                <w:b w:val="0"/>
                <w:i w:val="0"/>
                <w:sz w:val="18"/>
                <w:szCs w:val="18"/>
              </w:rPr>
              <w:t>raw / parsed</w:t>
            </w:r>
          </w:p>
        </w:tc>
        <w:tc>
          <w:tcPr>
            <w:tcW w:w="2160" w:type="dxa"/>
          </w:tcPr>
          <w:p w14:paraId="3F386F65">
            <w:pPr>
              <w:spacing w:before="0" w:after="0" w:line="276" w:lineRule="auto"/>
              <w:rPr>
                <w:sz w:val="18"/>
                <w:szCs w:val="18"/>
              </w:rPr>
            </w:pPr>
            <w:r>
              <w:rPr>
                <w:rFonts w:ascii="Times New Roman" w:hAnsi="Times New Roman" w:eastAsia="Times New Roman"/>
                <w:b w:val="0"/>
                <w:i w:val="0"/>
                <w:sz w:val="18"/>
                <w:szCs w:val="18"/>
              </w:rPr>
              <w:t>last outpatient value in 365 days before admit day</w:t>
            </w:r>
          </w:p>
        </w:tc>
        <w:tc>
          <w:tcPr>
            <w:tcW w:w="1836" w:type="dxa"/>
          </w:tcPr>
          <w:p w14:paraId="3C2AC619">
            <w:pPr>
              <w:spacing w:before="0" w:after="0" w:line="276" w:lineRule="auto"/>
              <w:rPr>
                <w:sz w:val="18"/>
                <w:szCs w:val="18"/>
              </w:rPr>
            </w:pPr>
            <w:r>
              <w:rPr>
                <w:rFonts w:ascii="Times New Roman" w:hAnsi="Times New Roman" w:eastAsia="Times New Roman"/>
                <w:b w:val="0"/>
                <w:i w:val="0"/>
                <w:sz w:val="18"/>
                <w:szCs w:val="18"/>
              </w:rPr>
              <w:t>Baseline physiology before this hospitalization</w:t>
            </w:r>
          </w:p>
        </w:tc>
      </w:tr>
      <w:tr w14:paraId="22CA5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38ADC6C8">
            <w:pPr>
              <w:spacing w:before="0" w:after="0" w:line="276" w:lineRule="auto"/>
              <w:rPr>
                <w:sz w:val="18"/>
                <w:szCs w:val="18"/>
              </w:rPr>
            </w:pPr>
            <w:r>
              <w:rPr>
                <w:rFonts w:ascii="Times New Roman" w:hAnsi="Times New Roman" w:eastAsia="Times New Roman"/>
                <w:b w:val="0"/>
                <w:i w:val="0"/>
                <w:sz w:val="18"/>
                <w:szCs w:val="18"/>
              </w:rPr>
              <w:t>curr_service</w:t>
            </w:r>
          </w:p>
        </w:tc>
        <w:tc>
          <w:tcPr>
            <w:tcW w:w="1296" w:type="dxa"/>
          </w:tcPr>
          <w:p w14:paraId="1A14691A">
            <w:pPr>
              <w:spacing w:before="0" w:after="0" w:line="276" w:lineRule="auto"/>
              <w:rPr>
                <w:sz w:val="18"/>
                <w:szCs w:val="18"/>
              </w:rPr>
            </w:pPr>
            <w:r>
              <w:rPr>
                <w:rFonts w:ascii="Times New Roman" w:hAnsi="Times New Roman" w:eastAsia="Times New Roman"/>
                <w:b w:val="0"/>
                <w:i w:val="0"/>
                <w:sz w:val="18"/>
                <w:szCs w:val="18"/>
              </w:rPr>
              <w:t>categorical</w:t>
            </w:r>
          </w:p>
        </w:tc>
        <w:tc>
          <w:tcPr>
            <w:tcW w:w="1440" w:type="dxa"/>
          </w:tcPr>
          <w:p w14:paraId="4C199B8F">
            <w:pPr>
              <w:spacing w:before="0" w:after="0" w:line="276" w:lineRule="auto"/>
              <w:rPr>
                <w:sz w:val="18"/>
                <w:szCs w:val="18"/>
              </w:rPr>
            </w:pPr>
            <w:r>
              <w:rPr>
                <w:rFonts w:ascii="Times New Roman" w:hAnsi="Times New Roman" w:eastAsia="Times New Roman"/>
                <w:b w:val="0"/>
                <w:i w:val="0"/>
                <w:sz w:val="18"/>
                <w:szCs w:val="18"/>
              </w:rPr>
              <w:t>raw</w:t>
            </w:r>
          </w:p>
        </w:tc>
        <w:tc>
          <w:tcPr>
            <w:tcW w:w="2160" w:type="dxa"/>
          </w:tcPr>
          <w:p w14:paraId="33269559">
            <w:pPr>
              <w:spacing w:before="0" w:after="0" w:line="276" w:lineRule="auto"/>
              <w:rPr>
                <w:sz w:val="18"/>
                <w:szCs w:val="18"/>
              </w:rPr>
            </w:pPr>
            <w:r>
              <w:rPr>
                <w:rFonts w:ascii="Times New Roman" w:hAnsi="Times New Roman" w:eastAsia="Times New Roman"/>
                <w:b w:val="0"/>
                <w:i w:val="0"/>
                <w:sz w:val="18"/>
                <w:szCs w:val="18"/>
              </w:rPr>
              <w:t>service at snapshot (asof join)</w:t>
            </w:r>
          </w:p>
        </w:tc>
        <w:tc>
          <w:tcPr>
            <w:tcW w:w="1836" w:type="dxa"/>
          </w:tcPr>
          <w:p w14:paraId="03921CFA">
            <w:pPr>
              <w:spacing w:before="0" w:after="0" w:line="276" w:lineRule="auto"/>
              <w:rPr>
                <w:sz w:val="18"/>
                <w:szCs w:val="18"/>
              </w:rPr>
            </w:pPr>
            <w:r>
              <w:rPr>
                <w:rFonts w:ascii="Times New Roman" w:hAnsi="Times New Roman" w:eastAsia="Times New Roman"/>
                <w:b w:val="0"/>
                <w:i w:val="0"/>
                <w:sz w:val="18"/>
                <w:szCs w:val="18"/>
              </w:rPr>
              <w:t>Service mix tracks monitoring intensity</w:t>
            </w:r>
          </w:p>
        </w:tc>
      </w:tr>
      <w:tr w14:paraId="7F60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578013A0">
            <w:pPr>
              <w:spacing w:before="0" w:after="0" w:line="276" w:lineRule="auto"/>
              <w:rPr>
                <w:sz w:val="18"/>
                <w:szCs w:val="18"/>
              </w:rPr>
            </w:pPr>
            <w:r>
              <w:rPr>
                <w:rFonts w:ascii="Times New Roman" w:hAnsi="Times New Roman" w:eastAsia="Times New Roman"/>
                <w:b w:val="0"/>
                <w:i w:val="0"/>
                <w:sz w:val="18"/>
                <w:szCs w:val="18"/>
              </w:rPr>
              <w:t>rx_new_24h, rx_iv_new_24h, rx_&lt;class&gt;_24h</w:t>
            </w:r>
          </w:p>
        </w:tc>
        <w:tc>
          <w:tcPr>
            <w:tcW w:w="1296" w:type="dxa"/>
          </w:tcPr>
          <w:p w14:paraId="3B237F0F">
            <w:pPr>
              <w:spacing w:before="0" w:after="0" w:line="276" w:lineRule="auto"/>
              <w:rPr>
                <w:sz w:val="18"/>
                <w:szCs w:val="18"/>
              </w:rPr>
            </w:pPr>
            <w:r>
              <w:rPr>
                <w:rFonts w:ascii="Times New Roman" w:hAnsi="Times New Roman" w:eastAsia="Times New Roman"/>
                <w:b w:val="0"/>
                <w:i w:val="0"/>
                <w:sz w:val="18"/>
                <w:szCs w:val="18"/>
              </w:rPr>
              <w:t>numeric</w:t>
            </w:r>
          </w:p>
        </w:tc>
        <w:tc>
          <w:tcPr>
            <w:tcW w:w="1440" w:type="dxa"/>
          </w:tcPr>
          <w:p w14:paraId="3E8A3B60">
            <w:pPr>
              <w:spacing w:before="0" w:after="0" w:line="276" w:lineRule="auto"/>
              <w:rPr>
                <w:sz w:val="18"/>
                <w:szCs w:val="18"/>
              </w:rPr>
            </w:pPr>
            <w:r>
              <w:rPr>
                <w:rFonts w:ascii="Times New Roman" w:hAnsi="Times New Roman" w:eastAsia="Times New Roman"/>
                <w:b w:val="0"/>
                <w:i w:val="0"/>
                <w:sz w:val="18"/>
                <w:szCs w:val="18"/>
              </w:rPr>
              <w:t>engineered</w:t>
            </w:r>
          </w:p>
        </w:tc>
        <w:tc>
          <w:tcPr>
            <w:tcW w:w="2160" w:type="dxa"/>
          </w:tcPr>
          <w:p w14:paraId="782481AA">
            <w:pPr>
              <w:spacing w:before="0" w:after="0" w:line="276" w:lineRule="auto"/>
              <w:rPr>
                <w:sz w:val="18"/>
                <w:szCs w:val="18"/>
              </w:rPr>
            </w:pPr>
            <w:r>
              <w:rPr>
                <w:rFonts w:ascii="Times New Roman" w:hAnsi="Times New Roman" w:eastAsia="Times New Roman"/>
                <w:b w:val="0"/>
                <w:i w:val="0"/>
                <w:sz w:val="18"/>
                <w:szCs w:val="18"/>
              </w:rPr>
              <w:t>orders started in the prior 24 h, by class including ACEI and IV antibiotic</w:t>
            </w:r>
          </w:p>
        </w:tc>
        <w:tc>
          <w:tcPr>
            <w:tcW w:w="1836" w:type="dxa"/>
          </w:tcPr>
          <w:p w14:paraId="5964B425">
            <w:pPr>
              <w:spacing w:before="0" w:after="0" w:line="276" w:lineRule="auto"/>
              <w:rPr>
                <w:sz w:val="18"/>
                <w:szCs w:val="18"/>
              </w:rPr>
            </w:pPr>
            <w:r>
              <w:rPr>
                <w:rFonts w:ascii="Times New Roman" w:hAnsi="Times New Roman" w:eastAsia="Times New Roman"/>
                <w:b w:val="0"/>
                <w:i w:val="0"/>
                <w:sz w:val="18"/>
                <w:szCs w:val="18"/>
              </w:rPr>
              <w:t>New IV and vasopressor orders mark escalating care</w:t>
            </w:r>
          </w:p>
        </w:tc>
      </w:tr>
      <w:tr w14:paraId="6204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51F73B24">
            <w:pPr>
              <w:spacing w:before="0" w:after="0" w:line="276" w:lineRule="auto"/>
              <w:rPr>
                <w:sz w:val="18"/>
                <w:szCs w:val="18"/>
              </w:rPr>
            </w:pPr>
            <w:r>
              <w:rPr>
                <w:rFonts w:ascii="Times New Roman" w:hAnsi="Times New Roman" w:eastAsia="Times New Roman"/>
                <w:b w:val="0"/>
                <w:i w:val="0"/>
                <w:sz w:val="18"/>
                <w:szCs w:val="18"/>
              </w:rPr>
              <w:t>&lt;lab&gt;_last</w:t>
            </w:r>
          </w:p>
        </w:tc>
        <w:tc>
          <w:tcPr>
            <w:tcW w:w="1296" w:type="dxa"/>
          </w:tcPr>
          <w:p w14:paraId="6FA166F9">
            <w:pPr>
              <w:spacing w:before="0" w:after="0" w:line="276" w:lineRule="auto"/>
              <w:rPr>
                <w:sz w:val="18"/>
                <w:szCs w:val="18"/>
              </w:rPr>
            </w:pPr>
            <w:r>
              <w:rPr>
                <w:rFonts w:ascii="Times New Roman" w:hAnsi="Times New Roman" w:eastAsia="Times New Roman"/>
                <w:b w:val="0"/>
                <w:i w:val="0"/>
                <w:sz w:val="18"/>
                <w:szCs w:val="18"/>
              </w:rPr>
              <w:t>numeric</w:t>
            </w:r>
          </w:p>
        </w:tc>
        <w:tc>
          <w:tcPr>
            <w:tcW w:w="1440" w:type="dxa"/>
          </w:tcPr>
          <w:p w14:paraId="208AD4C2">
            <w:pPr>
              <w:spacing w:before="0" w:after="0" w:line="276" w:lineRule="auto"/>
              <w:rPr>
                <w:sz w:val="18"/>
                <w:szCs w:val="18"/>
              </w:rPr>
            </w:pPr>
            <w:r>
              <w:rPr>
                <w:rFonts w:ascii="Times New Roman" w:hAnsi="Times New Roman" w:eastAsia="Times New Roman"/>
                <w:b w:val="0"/>
                <w:i w:val="0"/>
                <w:sz w:val="18"/>
                <w:szCs w:val="18"/>
              </w:rPr>
              <w:t>engineered</w:t>
            </w:r>
          </w:p>
        </w:tc>
        <w:tc>
          <w:tcPr>
            <w:tcW w:w="2160" w:type="dxa"/>
          </w:tcPr>
          <w:p w14:paraId="34ADB847">
            <w:pPr>
              <w:spacing w:before="0" w:after="0" w:line="276" w:lineRule="auto"/>
              <w:rPr>
                <w:sz w:val="18"/>
                <w:szCs w:val="18"/>
              </w:rPr>
            </w:pPr>
            <w:r>
              <w:rPr>
                <w:rFonts w:ascii="Times New Roman" w:hAnsi="Times New Roman" w:eastAsia="Times New Roman"/>
                <w:b w:val="0"/>
                <w:i w:val="0"/>
                <w:sz w:val="18"/>
                <w:szCs w:val="18"/>
              </w:rPr>
              <w:t>last result with storetime before snapshot</w:t>
            </w:r>
          </w:p>
        </w:tc>
        <w:tc>
          <w:tcPr>
            <w:tcW w:w="1836" w:type="dxa"/>
          </w:tcPr>
          <w:p w14:paraId="4DA9DE3A">
            <w:pPr>
              <w:spacing w:before="0" w:after="0" w:line="276" w:lineRule="auto"/>
              <w:rPr>
                <w:sz w:val="18"/>
                <w:szCs w:val="18"/>
              </w:rPr>
            </w:pPr>
            <w:r>
              <w:rPr>
                <w:rFonts w:ascii="Times New Roman" w:hAnsi="Times New Roman" w:eastAsia="Times New Roman"/>
                <w:b w:val="0"/>
                <w:i w:val="0"/>
                <w:sz w:val="18"/>
                <w:szCs w:val="18"/>
              </w:rPr>
              <w:t>Level tracks the label (Figure 3)</w:t>
            </w:r>
          </w:p>
        </w:tc>
      </w:tr>
      <w:tr w14:paraId="52DA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454D11CC">
            <w:pPr>
              <w:spacing w:before="0" w:after="0" w:line="276" w:lineRule="auto"/>
              <w:rPr>
                <w:sz w:val="18"/>
                <w:szCs w:val="18"/>
              </w:rPr>
            </w:pPr>
            <w:r>
              <w:rPr>
                <w:rFonts w:ascii="Times New Roman" w:hAnsi="Times New Roman" w:eastAsia="Times New Roman"/>
                <w:b w:val="0"/>
                <w:i w:val="0"/>
                <w:sz w:val="18"/>
                <w:szCs w:val="18"/>
              </w:rPr>
              <w:t>&lt;lab&gt;_delta</w:t>
            </w:r>
          </w:p>
        </w:tc>
        <w:tc>
          <w:tcPr>
            <w:tcW w:w="1296" w:type="dxa"/>
          </w:tcPr>
          <w:p w14:paraId="5F82FD66">
            <w:pPr>
              <w:spacing w:before="0" w:after="0" w:line="276" w:lineRule="auto"/>
              <w:rPr>
                <w:sz w:val="18"/>
                <w:szCs w:val="18"/>
              </w:rPr>
            </w:pPr>
            <w:r>
              <w:rPr>
                <w:rFonts w:ascii="Times New Roman" w:hAnsi="Times New Roman" w:eastAsia="Times New Roman"/>
                <w:b w:val="0"/>
                <w:i w:val="0"/>
                <w:sz w:val="18"/>
                <w:szCs w:val="18"/>
              </w:rPr>
              <w:t>numeric</w:t>
            </w:r>
          </w:p>
        </w:tc>
        <w:tc>
          <w:tcPr>
            <w:tcW w:w="1440" w:type="dxa"/>
          </w:tcPr>
          <w:p w14:paraId="13316871">
            <w:pPr>
              <w:spacing w:before="0" w:after="0" w:line="276" w:lineRule="auto"/>
              <w:rPr>
                <w:sz w:val="18"/>
                <w:szCs w:val="18"/>
              </w:rPr>
            </w:pPr>
            <w:r>
              <w:rPr>
                <w:rFonts w:ascii="Times New Roman" w:hAnsi="Times New Roman" w:eastAsia="Times New Roman"/>
                <w:b w:val="0"/>
                <w:i w:val="0"/>
                <w:sz w:val="18"/>
                <w:szCs w:val="18"/>
              </w:rPr>
              <w:t>engineered</w:t>
            </w:r>
          </w:p>
        </w:tc>
        <w:tc>
          <w:tcPr>
            <w:tcW w:w="2160" w:type="dxa"/>
          </w:tcPr>
          <w:p w14:paraId="349AB9FA">
            <w:pPr>
              <w:spacing w:before="0" w:after="0" w:line="276" w:lineRule="auto"/>
              <w:rPr>
                <w:sz w:val="18"/>
                <w:szCs w:val="18"/>
              </w:rPr>
            </w:pPr>
            <w:r>
              <w:rPr>
                <w:rFonts w:ascii="Times New Roman" w:hAnsi="Times New Roman" w:eastAsia="Times New Roman"/>
                <w:b w:val="0"/>
                <w:i w:val="0"/>
                <w:sz w:val="18"/>
                <w:szCs w:val="18"/>
              </w:rPr>
              <w:t>last minus previous result</w:t>
            </w:r>
          </w:p>
        </w:tc>
        <w:tc>
          <w:tcPr>
            <w:tcW w:w="1836" w:type="dxa"/>
          </w:tcPr>
          <w:p w14:paraId="2A56B5B2">
            <w:pPr>
              <w:spacing w:before="0" w:after="0" w:line="276" w:lineRule="auto"/>
              <w:rPr>
                <w:sz w:val="18"/>
                <w:szCs w:val="18"/>
              </w:rPr>
            </w:pPr>
            <w:r>
              <w:rPr>
                <w:rFonts w:ascii="Times New Roman" w:hAnsi="Times New Roman" w:eastAsia="Times New Roman"/>
                <w:b w:val="0"/>
                <w:i w:val="0"/>
                <w:sz w:val="18"/>
                <w:szCs w:val="18"/>
              </w:rPr>
              <w:t>Weakly correlated with last; captures change</w:t>
            </w:r>
          </w:p>
        </w:tc>
      </w:tr>
      <w:tr w14:paraId="7D8E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4B9AC0FC">
            <w:pPr>
              <w:spacing w:before="0" w:after="0" w:line="276" w:lineRule="auto"/>
              <w:rPr>
                <w:sz w:val="18"/>
                <w:szCs w:val="18"/>
              </w:rPr>
            </w:pPr>
            <w:r>
              <w:rPr>
                <w:rFonts w:ascii="Times New Roman" w:hAnsi="Times New Roman" w:eastAsia="Times New Roman"/>
                <w:b w:val="0"/>
                <w:i w:val="0"/>
                <w:sz w:val="18"/>
                <w:szCs w:val="18"/>
              </w:rPr>
              <w:t>&lt;lab&gt;_count24h</w:t>
            </w:r>
          </w:p>
        </w:tc>
        <w:tc>
          <w:tcPr>
            <w:tcW w:w="1296" w:type="dxa"/>
          </w:tcPr>
          <w:p w14:paraId="51586783">
            <w:pPr>
              <w:spacing w:before="0" w:after="0" w:line="276" w:lineRule="auto"/>
              <w:rPr>
                <w:sz w:val="18"/>
                <w:szCs w:val="18"/>
              </w:rPr>
            </w:pPr>
            <w:r>
              <w:rPr>
                <w:rFonts w:ascii="Times New Roman" w:hAnsi="Times New Roman" w:eastAsia="Times New Roman"/>
                <w:b w:val="0"/>
                <w:i w:val="0"/>
                <w:sz w:val="18"/>
                <w:szCs w:val="18"/>
              </w:rPr>
              <w:t>numeric</w:t>
            </w:r>
          </w:p>
        </w:tc>
        <w:tc>
          <w:tcPr>
            <w:tcW w:w="1440" w:type="dxa"/>
          </w:tcPr>
          <w:p w14:paraId="55F379A9">
            <w:pPr>
              <w:spacing w:before="0" w:after="0" w:line="276" w:lineRule="auto"/>
              <w:rPr>
                <w:sz w:val="18"/>
                <w:szCs w:val="18"/>
              </w:rPr>
            </w:pPr>
            <w:r>
              <w:rPr>
                <w:rFonts w:ascii="Times New Roman" w:hAnsi="Times New Roman" w:eastAsia="Times New Roman"/>
                <w:b w:val="0"/>
                <w:i w:val="0"/>
                <w:sz w:val="18"/>
                <w:szCs w:val="18"/>
              </w:rPr>
              <w:t>engineered</w:t>
            </w:r>
          </w:p>
        </w:tc>
        <w:tc>
          <w:tcPr>
            <w:tcW w:w="2160" w:type="dxa"/>
          </w:tcPr>
          <w:p w14:paraId="647DA74A">
            <w:pPr>
              <w:spacing w:before="0" w:after="0" w:line="276" w:lineRule="auto"/>
              <w:rPr>
                <w:sz w:val="18"/>
                <w:szCs w:val="18"/>
              </w:rPr>
            </w:pPr>
            <w:r>
              <w:rPr>
                <w:rFonts w:ascii="Times New Roman" w:hAnsi="Times New Roman" w:eastAsia="Times New Roman"/>
                <w:b w:val="0"/>
                <w:i w:val="0"/>
                <w:sz w:val="18"/>
                <w:szCs w:val="18"/>
              </w:rPr>
              <w:t>count in (snapshot−24 h, snapshot]; 0 if unordered</w:t>
            </w:r>
          </w:p>
        </w:tc>
        <w:tc>
          <w:tcPr>
            <w:tcW w:w="1836" w:type="dxa"/>
          </w:tcPr>
          <w:p w14:paraId="14BEAD3E">
            <w:pPr>
              <w:spacing w:before="0" w:after="0" w:line="276" w:lineRule="auto"/>
              <w:rPr>
                <w:sz w:val="18"/>
                <w:szCs w:val="18"/>
              </w:rPr>
            </w:pPr>
            <w:r>
              <w:rPr>
                <w:rFonts w:ascii="Times New Roman" w:hAnsi="Times New Roman" w:eastAsia="Times New Roman"/>
                <w:b w:val="0"/>
                <w:i w:val="0"/>
                <w:sz w:val="18"/>
                <w:szCs w:val="18"/>
              </w:rPr>
              <w:t>Informative missingness (Figure 4)</w:t>
            </w:r>
          </w:p>
        </w:tc>
      </w:tr>
    </w:tbl>
    <w:p w14:paraId="4E455F32">
      <w:pPr>
        <w:keepNext w:val="0"/>
        <w:keepLines w:val="0"/>
        <w:pageBreakBefore w:val="0"/>
        <w:widowControl/>
        <w:kinsoku/>
        <w:wordWrap/>
        <w:overflowPunct/>
        <w:topLinePunct w:val="0"/>
        <w:autoSpaceDE/>
        <w:autoSpaceDN/>
        <w:bidi w:val="0"/>
        <w:adjustRightInd/>
        <w:snapToGrid/>
        <w:spacing w:before="120" w:after="160" w:line="360" w:lineRule="auto"/>
        <w:ind w:firstLine="720"/>
        <w:textAlignment w:val="auto"/>
        <w:rPr>
          <w:sz w:val="22"/>
          <w:szCs w:val="22"/>
        </w:rPr>
      </w:pPr>
      <w:r>
        <w:rPr>
          <w:rFonts w:ascii="Times New Roman" w:hAnsi="Times New Roman" w:eastAsia="Times New Roman"/>
          <w:b w:val="0"/>
          <w:i w:val="0"/>
          <w:sz w:val="22"/>
          <w:szCs w:val="22"/>
        </w:rPr>
        <w:t>Dropped, with reasons. (1) &lt;lab&gt;_min24h and &lt;lab&gt;_max24h: on the training split they match &lt;lab&gt;_last (Spearman typically above 0.93, often above 0.99) because most labs are drawn once per day; trees would split on three copies of one number. (2) ICU charting tables (chartevents, inputevents, procedureevents): they are recorded after ICU admission, which is the outcome. (3) Diagnoses from the current admission: they are coded at discharge. (4) Planned ELECTIVE and SURGICAL SAME DAY ADMISSION stays: their ICU use is scheduled. (5) Psychiatry, obstetrics, PACU, and nursery snapshots: not the watchlist population. (6) Principal components: Section 5. The column count fell from an earlier 142 (including min/max) to 101.</w:t>
      </w:r>
    </w:p>
    <w:p w14:paraId="18D75CC1">
      <w:pPr>
        <w:spacing w:before="240" w:after="120" w:line="360" w:lineRule="auto"/>
        <w:ind w:firstLine="0"/>
        <w:rPr>
          <w:sz w:val="24"/>
          <w:szCs w:val="24"/>
        </w:rPr>
      </w:pPr>
      <w:r>
        <w:rPr>
          <w:rFonts w:ascii="Times New Roman" w:hAnsi="Times New Roman" w:eastAsia="Times New Roman"/>
          <w:b/>
          <w:i w:val="0"/>
          <w:sz w:val="24"/>
          <w:szCs w:val="24"/>
        </w:rPr>
        <w:t>7. Implications for Modeling</w:t>
      </w:r>
    </w:p>
    <w:p w14:paraId="6BBD7E0A">
      <w:pPr>
        <w:spacing w:before="0" w:after="160" w:line="360" w:lineRule="auto"/>
        <w:ind w:firstLine="720"/>
        <w:rPr>
          <w:sz w:val="22"/>
          <w:szCs w:val="22"/>
        </w:rPr>
      </w:pPr>
      <w:r>
        <w:rPr>
          <w:rFonts w:ascii="Times New Roman" w:hAnsi="Times New Roman" w:eastAsia="Times New Roman"/>
          <w:b w:val="0"/>
          <w:i w:val="0"/>
          <w:sz w:val="22"/>
          <w:szCs w:val="22"/>
        </w:rPr>
        <w:t>Four modeling consequences follow from this exploration. First, the 24-hour event rate is under 1%, so M4 must report PR-AUC and recall among the top 10% of scores, not accuracy or a default 0.5 threshold. Class weights or a low decision threshold on the ranking will be needed if a hard watchlist cut is required. Second, missing lactate and blood gas are signals; tree models should see NaN, and linear models should see an explicit missing indicator rather than a silent median. Third, snapshots from the same patient are dependent, which is why the split is by patient and why clustered errors should be kept in mind when interpreting validation numbers. Fourth, 31% of transfers occur before the first snapshot, so even a perfect morning model has a ceiling on admission-level recall.</w:t>
      </w:r>
    </w:p>
    <w:p w14:paraId="2BB810F8">
      <w:pPr>
        <w:spacing w:before="0" w:after="160" w:line="360" w:lineRule="auto"/>
        <w:ind w:firstLine="720"/>
        <w:rPr>
          <w:sz w:val="22"/>
          <w:szCs w:val="22"/>
        </w:rPr>
      </w:pPr>
      <w:r>
        <w:rPr>
          <w:rFonts w:ascii="Times New Roman" w:hAnsi="Times New Roman" w:eastAsia="Times New Roman"/>
          <w:b w:val="0"/>
          <w:i w:val="0"/>
          <w:sz w:val="22"/>
          <w:szCs w:val="22"/>
        </w:rPr>
        <w:t>Open questions for the M3 check-in and for M4: whether to add an admission-time (hour 0) score for the early deteriorations; whether careunit should be a random effect or a one-hot feature; and whether a simple last-lactate-plus-ward rule is a fair baseline beside logistic regression and LightGBM. We are also unsure how strictly the top-10% watchlist should be calibrated per ward versus hospital-wide.</w:t>
      </w:r>
    </w:p>
    <w:p w14:paraId="7DC4EF81">
      <w:pPr>
        <w:spacing w:before="240" w:after="120" w:line="360" w:lineRule="auto"/>
        <w:ind w:firstLine="0"/>
        <w:rPr>
          <w:sz w:val="24"/>
          <w:szCs w:val="24"/>
        </w:rPr>
      </w:pPr>
      <w:r>
        <w:rPr>
          <w:rFonts w:ascii="Times New Roman" w:hAnsi="Times New Roman" w:eastAsia="Times New Roman"/>
          <w:b/>
          <w:i w:val="0"/>
          <w:sz w:val="24"/>
          <w:szCs w:val="24"/>
        </w:rPr>
        <w:t>8. Repository</w:t>
      </w:r>
      <w:bookmarkStart w:id="0" w:name="_GoBack"/>
      <w:bookmarkEnd w:id="0"/>
    </w:p>
    <w:p w14:paraId="6A14F1D5">
      <w:pPr>
        <w:spacing w:before="0" w:after="160" w:line="360" w:lineRule="auto"/>
        <w:ind w:firstLine="720"/>
        <w:rPr>
          <w:sz w:val="22"/>
          <w:szCs w:val="22"/>
        </w:rPr>
      </w:pPr>
      <w:r>
        <w:rPr>
          <w:rFonts w:ascii="Times New Roman" w:hAnsi="Times New Roman" w:eastAsia="Times New Roman"/>
          <w:b w:val="0"/>
          <w:i w:val="0"/>
          <w:sz w:val="22"/>
          <w:szCs w:val="22"/>
        </w:rPr>
        <w:t>The working copy is local. A public GitHub repository must be created before Canvas submission and tagged m3, as required in the M3 guideline (Section 5.1). Paste the URL here after the repository is public:</w:t>
      </w:r>
    </w:p>
    <w:p w14:paraId="5D3D2995">
      <w:pPr>
        <w:spacing w:before="0" w:after="160" w:line="360" w:lineRule="auto"/>
        <w:rPr>
          <w:sz w:val="22"/>
          <w:szCs w:val="22"/>
        </w:rPr>
      </w:pPr>
      <w:r>
        <w:rPr>
          <w:rFonts w:ascii="Times New Roman" w:hAnsi="Times New Roman" w:eastAsia="Times New Roman"/>
          <w:b/>
          <w:i w:val="0"/>
          <w:sz w:val="22"/>
          <w:szCs w:val="22"/>
        </w:rPr>
        <w:t xml:space="preserve">Public repository URL: </w:t>
      </w:r>
      <w:r>
        <w:rPr>
          <w:rFonts w:hint="default" w:ascii="Times New Roman" w:hAnsi="Times New Roman" w:eastAsia="Times New Roman"/>
          <w:b/>
          <w:i w:val="0"/>
          <w:sz w:val="22"/>
          <w:szCs w:val="22"/>
        </w:rPr>
        <w:fldChar w:fldCharType="begin"/>
      </w:r>
      <w:r>
        <w:rPr>
          <w:rFonts w:hint="default" w:ascii="Times New Roman" w:hAnsi="Times New Roman" w:eastAsia="Times New Roman"/>
          <w:b/>
          <w:i w:val="0"/>
          <w:sz w:val="22"/>
          <w:szCs w:val="22"/>
        </w:rPr>
        <w:instrText xml:space="preserve"> HYPERLINK "https://github.com/alps4u/ie7275-GroupA" </w:instrText>
      </w:r>
      <w:r>
        <w:rPr>
          <w:rFonts w:hint="default" w:ascii="Times New Roman" w:hAnsi="Times New Roman" w:eastAsia="Times New Roman"/>
          <w:b/>
          <w:i w:val="0"/>
          <w:sz w:val="22"/>
          <w:szCs w:val="22"/>
        </w:rPr>
        <w:fldChar w:fldCharType="separate"/>
      </w:r>
      <w:r>
        <w:rPr>
          <w:rStyle w:val="21"/>
          <w:rFonts w:hint="default" w:ascii="Times New Roman" w:hAnsi="Times New Roman" w:eastAsia="Times New Roman"/>
          <w:b/>
          <w:i w:val="0"/>
          <w:sz w:val="22"/>
          <w:szCs w:val="22"/>
        </w:rPr>
        <w:t>https://github.com/alps4u/ie7275-GroupA</w:t>
      </w:r>
      <w:r>
        <w:rPr>
          <w:rFonts w:hint="default" w:ascii="Times New Roman" w:hAnsi="Times New Roman" w:eastAsia="Times New Roman"/>
          <w:b/>
          <w:i w:val="0"/>
          <w:sz w:val="22"/>
          <w:szCs w:val="22"/>
        </w:rPr>
        <w:fldChar w:fldCharType="end"/>
      </w:r>
    </w:p>
    <w:p w14:paraId="494D1F13">
      <w:pPr>
        <w:spacing w:before="0" w:after="160" w:line="360" w:lineRule="auto"/>
        <w:ind w:firstLine="720"/>
        <w:rPr>
          <w:sz w:val="22"/>
          <w:szCs w:val="22"/>
        </w:rPr>
      </w:pPr>
      <w:r>
        <w:rPr>
          <w:rFonts w:ascii="Times New Roman" w:hAnsi="Times New Roman" w:eastAsia="Times New Roman"/>
          <w:b w:val="0"/>
          <w:i w:val="0"/>
          <w:sz w:val="22"/>
          <w:szCs w:val="22"/>
        </w:rPr>
        <w:t>The layout already matches the recommended structure: config.yaml for seeds, paths, and cohort rules; src/icu_forecast/ for clean, split, features, and prepare; notebooks/01_eda.ipynb and 02_pca.ipynb for exploration; requirements.txt with pinned versions; MIT LICENSE; README with PhysioNet access steps and reproduction commands; and a .gitignore that excludes data/, artifacts/, and credentials. Raw MIMIC-IV files are read-only under data/raw/. All paths in code are relative to the repository root. After the public remote exists, each member must commit from their own GitHub account so the history matches Table 4. A repository filled in a single commit on the deadline is a grading failure even if the code is complete.</w:t>
      </w:r>
    </w:p>
    <w:p w14:paraId="55ABE66A">
      <w:pPr>
        <w:spacing w:before="240" w:after="120" w:line="360" w:lineRule="auto"/>
        <w:ind w:firstLine="0"/>
        <w:rPr>
          <w:sz w:val="24"/>
          <w:szCs w:val="24"/>
        </w:rPr>
      </w:pPr>
      <w:r>
        <w:rPr>
          <w:rFonts w:ascii="Times New Roman" w:hAnsi="Times New Roman" w:eastAsia="Times New Roman"/>
          <w:b/>
          <w:i w:val="0"/>
          <w:sz w:val="24"/>
          <w:szCs w:val="24"/>
        </w:rPr>
        <w:t>9. Individual Contributions and Plan for M4</w:t>
      </w:r>
    </w:p>
    <w:p w14:paraId="479A2161">
      <w:pPr>
        <w:spacing w:before="120" w:after="80" w:line="360" w:lineRule="auto"/>
        <w:ind w:firstLine="0"/>
        <w:jc w:val="left"/>
        <w:rPr>
          <w:sz w:val="18"/>
          <w:szCs w:val="18"/>
        </w:rPr>
      </w:pPr>
      <w:r>
        <w:rPr>
          <w:rFonts w:ascii="Times New Roman" w:hAnsi="Times New Roman" w:eastAsia="Times New Roman"/>
          <w:b w:val="0"/>
          <w:i/>
          <w:sz w:val="18"/>
          <w:szCs w:val="18"/>
        </w:rPr>
        <w:t>Table 4. Individual contributions for M3 and planned work before M4. Completed tasks name the artifact and where to find it. Planned tasks name an output and a target date. Edit rows if the division of labor differs; the TA will compare this table with git history at the check-in.</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600"/>
      </w:tblGrid>
      <w:tr w14:paraId="7FE1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178EF93">
            <w:pPr>
              <w:spacing w:before="0" w:after="0" w:line="276" w:lineRule="auto"/>
              <w:rPr>
                <w:sz w:val="20"/>
                <w:szCs w:val="20"/>
              </w:rPr>
            </w:pPr>
            <w:r>
              <w:rPr>
                <w:rFonts w:ascii="Times New Roman" w:hAnsi="Times New Roman" w:eastAsia="Times New Roman"/>
                <w:b/>
                <w:i w:val="0"/>
                <w:sz w:val="20"/>
                <w:szCs w:val="20"/>
              </w:rPr>
              <w:t>Student</w:t>
            </w:r>
          </w:p>
        </w:tc>
        <w:tc>
          <w:tcPr>
            <w:tcW w:w="3888" w:type="dxa"/>
          </w:tcPr>
          <w:p w14:paraId="3EEF521F">
            <w:pPr>
              <w:spacing w:before="0" w:after="0" w:line="276" w:lineRule="auto"/>
              <w:rPr>
                <w:sz w:val="20"/>
                <w:szCs w:val="20"/>
              </w:rPr>
            </w:pPr>
            <w:r>
              <w:rPr>
                <w:rFonts w:ascii="Times New Roman" w:hAnsi="Times New Roman" w:eastAsia="Times New Roman"/>
                <w:b/>
                <w:i w:val="0"/>
                <w:sz w:val="20"/>
                <w:szCs w:val="20"/>
              </w:rPr>
              <w:t>Completed for M3, and where to find it</w:t>
            </w:r>
          </w:p>
        </w:tc>
        <w:tc>
          <w:tcPr>
            <w:tcW w:w="3600" w:type="dxa"/>
          </w:tcPr>
          <w:p w14:paraId="69E2FF35">
            <w:pPr>
              <w:spacing w:before="0" w:after="0" w:line="276" w:lineRule="auto"/>
              <w:rPr>
                <w:sz w:val="20"/>
                <w:szCs w:val="20"/>
              </w:rPr>
            </w:pPr>
            <w:r>
              <w:rPr>
                <w:rFonts w:ascii="Times New Roman" w:hAnsi="Times New Roman" w:eastAsia="Times New Roman"/>
                <w:b/>
                <w:i w:val="0"/>
                <w:sz w:val="20"/>
                <w:szCs w:val="20"/>
              </w:rPr>
              <w:t>Planned before M4, with target date</w:t>
            </w:r>
          </w:p>
        </w:tc>
      </w:tr>
      <w:tr w14:paraId="2F11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2685302">
            <w:pPr>
              <w:spacing w:before="0" w:after="0" w:line="276" w:lineRule="auto"/>
              <w:rPr>
                <w:sz w:val="20"/>
                <w:szCs w:val="20"/>
              </w:rPr>
            </w:pPr>
            <w:r>
              <w:rPr>
                <w:rFonts w:ascii="Times New Roman" w:hAnsi="Times New Roman" w:eastAsia="Times New Roman"/>
                <w:b w:val="0"/>
                <w:i w:val="0"/>
                <w:sz w:val="20"/>
                <w:szCs w:val="20"/>
              </w:rPr>
              <w:t>Ka Won Cho</w:t>
            </w:r>
          </w:p>
        </w:tc>
        <w:tc>
          <w:tcPr>
            <w:tcW w:w="3888" w:type="dxa"/>
          </w:tcPr>
          <w:p w14:paraId="115A56C2">
            <w:pPr>
              <w:spacing w:before="0" w:after="0" w:line="276" w:lineRule="auto"/>
              <w:rPr>
                <w:sz w:val="20"/>
                <w:szCs w:val="20"/>
              </w:rPr>
            </w:pPr>
            <w:r>
              <w:rPr>
                <w:rFonts w:ascii="Times New Roman" w:hAnsi="Times New Roman" w:eastAsia="Times New Roman"/>
                <w:b w:val="0"/>
                <w:i w:val="0"/>
                <w:sz w:val="20"/>
                <w:szCs w:val="20"/>
              </w:rPr>
              <w:t>Defined extra non-ward units (psychiatry, obstetrics, PACU, nursery) after finding a 0% transfer rate on psychiatry snapshots (config.yaml; Section 1). Drafted the eight-figure EDA layout used in the combined notebook (reference files/ICU_EDA_Project.ipynb; Figures 1–6).</w:t>
            </w:r>
          </w:p>
        </w:tc>
        <w:tc>
          <w:tcPr>
            <w:tcW w:w="3600" w:type="dxa"/>
          </w:tcPr>
          <w:p w14:paraId="3C6D995F">
            <w:pPr>
              <w:spacing w:before="0" w:after="0" w:line="276" w:lineRule="auto"/>
              <w:rPr>
                <w:sz w:val="20"/>
                <w:szCs w:val="20"/>
              </w:rPr>
            </w:pPr>
            <w:r>
              <w:rPr>
                <w:rFonts w:ascii="Times New Roman" w:hAnsi="Times New Roman" w:eastAsia="Times New Roman"/>
                <w:b w:val="0"/>
                <w:i w:val="0"/>
                <w:sz w:val="20"/>
                <w:szCs w:val="20"/>
              </w:rPr>
              <w:t>Implement the logistic regression baseline with training-only imputation and class weights in src/icu_forecast/models/logreg.py and report validation PR-AUC, by Nov 10. Draft the M4 metrics table, by Nov 12.</w:t>
            </w:r>
          </w:p>
        </w:tc>
      </w:tr>
      <w:tr w14:paraId="7FF0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ACDCE9C">
            <w:pPr>
              <w:spacing w:before="0" w:after="0" w:line="276" w:lineRule="auto"/>
              <w:rPr>
                <w:sz w:val="20"/>
                <w:szCs w:val="20"/>
              </w:rPr>
            </w:pPr>
            <w:r>
              <w:rPr>
                <w:rFonts w:ascii="Times New Roman" w:hAnsi="Times New Roman" w:eastAsia="Times New Roman"/>
                <w:b w:val="0"/>
                <w:i w:val="0"/>
                <w:sz w:val="20"/>
                <w:szCs w:val="20"/>
              </w:rPr>
              <w:t>Minh Tuong Le</w:t>
            </w:r>
          </w:p>
        </w:tc>
        <w:tc>
          <w:tcPr>
            <w:tcW w:w="3888" w:type="dxa"/>
          </w:tcPr>
          <w:p w14:paraId="5832D74B">
            <w:pPr>
              <w:spacing w:before="0" w:after="0" w:line="276" w:lineRule="auto"/>
              <w:rPr>
                <w:sz w:val="20"/>
                <w:szCs w:val="20"/>
              </w:rPr>
            </w:pPr>
            <w:r>
              <w:rPr>
                <w:rFonts w:ascii="Times New Roman" w:hAnsi="Times New Roman" w:eastAsia="Times New Roman"/>
                <w:b w:val="0"/>
                <w:i w:val="0"/>
                <w:sz w:val="20"/>
                <w:szCs w:val="20"/>
              </w:rPr>
              <w:t>Built the reusable pipeline: clean.py, split.py, features.py, prepare.py (src/icu_forecast/; Sections 2–3; cleaning_report.json). Combined the two EDA notebooks into notebooks/01_eda.ipynb and produced Figures 1–6 from the training split. Assembled this M3 report from pipeline counts.</w:t>
            </w:r>
          </w:p>
        </w:tc>
        <w:tc>
          <w:tcPr>
            <w:tcW w:w="3600" w:type="dxa"/>
          </w:tcPr>
          <w:p w14:paraId="5EF4CD35">
            <w:pPr>
              <w:spacing w:before="0" w:after="0" w:line="276" w:lineRule="auto"/>
              <w:rPr>
                <w:sz w:val="20"/>
                <w:szCs w:val="20"/>
              </w:rPr>
            </w:pPr>
            <w:r>
              <w:rPr>
                <w:rFonts w:ascii="Times New Roman" w:hAnsi="Times New Roman" w:eastAsia="Times New Roman"/>
                <w:b w:val="0"/>
                <w:i w:val="0"/>
                <w:sz w:val="20"/>
                <w:szCs w:val="20"/>
              </w:rPr>
              <w:t>Fit LightGBM for 24 h and 48 h on the current 96-feature table in src/icu_forecast/models/lgbm.py and report recall@10%, by Nov 10. Create the public GitHub remote, invite partners, and tag m3, by submission day.</w:t>
            </w:r>
          </w:p>
        </w:tc>
      </w:tr>
      <w:tr w14:paraId="57790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2EF95D2">
            <w:pPr>
              <w:spacing w:before="0" w:after="0" w:line="276" w:lineRule="auto"/>
              <w:rPr>
                <w:sz w:val="20"/>
                <w:szCs w:val="20"/>
              </w:rPr>
            </w:pPr>
            <w:r>
              <w:rPr>
                <w:rFonts w:ascii="Times New Roman" w:hAnsi="Times New Roman" w:eastAsia="Times New Roman"/>
                <w:b w:val="0"/>
                <w:i w:val="0"/>
                <w:sz w:val="20"/>
                <w:szCs w:val="20"/>
              </w:rPr>
              <w:t>Shanti Ram Pokhrel</w:t>
            </w:r>
          </w:p>
        </w:tc>
        <w:tc>
          <w:tcPr>
            <w:tcW w:w="3888" w:type="dxa"/>
          </w:tcPr>
          <w:p w14:paraId="4ED80DAA">
            <w:pPr>
              <w:spacing w:before="0" w:after="0" w:line="276" w:lineRule="auto"/>
              <w:rPr>
                <w:sz w:val="20"/>
                <w:szCs w:val="20"/>
              </w:rPr>
            </w:pPr>
            <w:r>
              <w:rPr>
                <w:rFonts w:ascii="Times New Roman" w:hAnsi="Times New Roman" w:eastAsia="Times New Roman"/>
                <w:b w:val="0"/>
                <w:i w:val="0"/>
                <w:sz w:val="20"/>
                <w:szCs w:val="20"/>
              </w:rPr>
              <w:t>Ran within-lab correlation heatmaps and recommended dropping min24h/max24h after last ≈ min ≈ max (notebooks/01_eda.ipynb; Section 6). Documented before/after cleaning counts (reference files/DataClean.docx; Section 2). Added the 1-hour minimum readmission gap (clean.py; Table 1).</w:t>
            </w:r>
          </w:p>
        </w:tc>
        <w:tc>
          <w:tcPr>
            <w:tcW w:w="3600" w:type="dxa"/>
          </w:tcPr>
          <w:p w14:paraId="4E861BE8">
            <w:pPr>
              <w:spacing w:before="0" w:after="0" w:line="276" w:lineRule="auto"/>
              <w:rPr>
                <w:sz w:val="20"/>
                <w:szCs w:val="20"/>
              </w:rPr>
            </w:pPr>
            <w:r>
              <w:rPr>
                <w:rFonts w:ascii="Times New Roman" w:hAnsi="Times New Roman" w:eastAsia="Times New Roman"/>
                <w:b w:val="0"/>
                <w:i w:val="0"/>
                <w:sz w:val="20"/>
                <w:szCs w:val="20"/>
              </w:rPr>
              <w:t>Re-run notebooks/02_pca.ipynb after any M4 feature change and confirm the no-PCA decision still holds, by Nov 8. Write README run instructions for a fresh clone, by Nov 5.</w:t>
            </w:r>
          </w:p>
        </w:tc>
      </w:tr>
    </w:tbl>
    <w:p w14:paraId="6CB928DA">
      <w:pPr>
        <w:keepNext w:val="0"/>
        <w:keepLines w:val="0"/>
        <w:pageBreakBefore w:val="0"/>
        <w:widowControl/>
        <w:kinsoku/>
        <w:wordWrap/>
        <w:overflowPunct/>
        <w:topLinePunct w:val="0"/>
        <w:autoSpaceDE/>
        <w:autoSpaceDN/>
        <w:bidi w:val="0"/>
        <w:adjustRightInd/>
        <w:snapToGrid/>
        <w:spacing w:before="160" w:after="120" w:line="240" w:lineRule="auto"/>
        <w:ind w:firstLine="0"/>
        <w:textAlignment w:val="auto"/>
        <w:rPr>
          <w:sz w:val="22"/>
          <w:szCs w:val="22"/>
        </w:rPr>
      </w:pPr>
      <w:r>
        <w:rPr>
          <w:rFonts w:ascii="Times New Roman" w:hAnsi="Times New Roman" w:eastAsia="Times New Roman"/>
          <w:b/>
          <w:i w:val="0"/>
          <w:sz w:val="22"/>
          <w:szCs w:val="22"/>
        </w:rPr>
        <w:t>References</w:t>
      </w:r>
    </w:p>
    <w:p w14:paraId="69BAD35C">
      <w:pPr>
        <w:keepNext w:val="0"/>
        <w:keepLines w:val="0"/>
        <w:pageBreakBefore w:val="0"/>
        <w:widowControl/>
        <w:kinsoku/>
        <w:wordWrap/>
        <w:overflowPunct/>
        <w:topLinePunct w:val="0"/>
        <w:autoSpaceDE/>
        <w:autoSpaceDN/>
        <w:bidi w:val="0"/>
        <w:adjustRightInd/>
        <w:snapToGrid/>
        <w:spacing w:before="160" w:after="120" w:line="240" w:lineRule="auto"/>
        <w:ind w:left="720" w:hanging="720"/>
        <w:textAlignment w:val="auto"/>
        <w:rPr>
          <w:sz w:val="20"/>
          <w:szCs w:val="20"/>
        </w:rPr>
      </w:pPr>
      <w:r>
        <w:rPr>
          <w:rFonts w:ascii="Times New Roman" w:hAnsi="Times New Roman" w:eastAsia="Times New Roman"/>
          <w:b w:val="0"/>
          <w:i w:val="0"/>
          <w:sz w:val="20"/>
          <w:szCs w:val="20"/>
        </w:rPr>
        <w:t>Goldberger, A. L., Amaral, L. A. N., Glass, L., Hausdorff, J. M., Ivanov, P. C., Mark, R. G., Mietus, J. E., Moody, G. B., Peng, C.-K., &amp; Stanley, H. E. (2000). PhysioBank, PhysioToolkit, and PhysioNet: Components of a new research resource for complex physiologic signals. Circulation, 101(23), e215–e220. https://doi.org/10.1161/01.CIR.101.23.e215</w:t>
      </w:r>
    </w:p>
    <w:p w14:paraId="45CE3D71">
      <w:pPr>
        <w:keepNext w:val="0"/>
        <w:keepLines w:val="0"/>
        <w:pageBreakBefore w:val="0"/>
        <w:widowControl/>
        <w:kinsoku/>
        <w:wordWrap/>
        <w:overflowPunct/>
        <w:topLinePunct w:val="0"/>
        <w:autoSpaceDE/>
        <w:autoSpaceDN/>
        <w:bidi w:val="0"/>
        <w:adjustRightInd/>
        <w:snapToGrid/>
        <w:spacing w:before="160" w:after="120" w:line="240" w:lineRule="auto"/>
        <w:ind w:left="720" w:hanging="720"/>
        <w:textAlignment w:val="auto"/>
        <w:rPr>
          <w:sz w:val="20"/>
          <w:szCs w:val="20"/>
        </w:rPr>
      </w:pPr>
      <w:r>
        <w:rPr>
          <w:rFonts w:ascii="Times New Roman" w:hAnsi="Times New Roman" w:eastAsia="Times New Roman"/>
          <w:b w:val="0"/>
          <w:i w:val="0"/>
          <w:sz w:val="20"/>
          <w:szCs w:val="20"/>
        </w:rPr>
        <w:t>Johnson, A., Bulgarelli, L., Pollard, T., Gow, B., Moody, B., Horng, S., Celi, L. A., &amp; Mark, R. (2024). MIMIC-IV (version 3.1) [Data set]. PhysioNet. https://doi.org/10.13026/kpb9-mt58</w:t>
      </w:r>
    </w:p>
    <w:p w14:paraId="0D7AF3BE">
      <w:pPr>
        <w:keepNext w:val="0"/>
        <w:keepLines w:val="0"/>
        <w:pageBreakBefore w:val="0"/>
        <w:widowControl/>
        <w:kinsoku/>
        <w:wordWrap/>
        <w:overflowPunct/>
        <w:topLinePunct w:val="0"/>
        <w:autoSpaceDE/>
        <w:autoSpaceDN/>
        <w:bidi w:val="0"/>
        <w:adjustRightInd/>
        <w:snapToGrid/>
        <w:spacing w:before="160" w:after="120" w:line="240" w:lineRule="auto"/>
        <w:ind w:left="720" w:hanging="720"/>
        <w:textAlignment w:val="auto"/>
        <w:rPr>
          <w:sz w:val="20"/>
          <w:szCs w:val="20"/>
        </w:rPr>
      </w:pPr>
      <w:r>
        <w:rPr>
          <w:rFonts w:ascii="Times New Roman" w:hAnsi="Times New Roman" w:eastAsia="Times New Roman"/>
          <w:b w:val="0"/>
          <w:i w:val="0"/>
          <w:sz w:val="20"/>
          <w:szCs w:val="20"/>
        </w:rPr>
        <w:t>Johnson, A. E. W., Bulgarelli, L., Shen, L., Gayles, A., Shammout, A., Horng, S., Pollard, T. J., Hao, S., Moody, B., Gow, B., Lehman, L. H., Celi, L. A., &amp; Mark, R. G. (2023). MIMIC-IV, a freely accessible electronic health record dataset. Scientific Data, 10, Article 1. https://doi.org/10.1038/s41597-022-01861-1</w:t>
      </w:r>
    </w:p>
    <w:p w14:paraId="699C5349">
      <w:pPr>
        <w:spacing w:before="240" w:after="120" w:line="360" w:lineRule="auto"/>
        <w:ind w:firstLine="0"/>
        <w:rPr>
          <w:sz w:val="22"/>
          <w:szCs w:val="22"/>
        </w:rPr>
      </w:pPr>
      <w:r>
        <w:rPr>
          <w:rFonts w:ascii="Times New Roman" w:hAnsi="Times New Roman" w:eastAsia="Times New Roman"/>
          <w:b/>
          <w:i w:val="0"/>
          <w:sz w:val="22"/>
          <w:szCs w:val="22"/>
        </w:rPr>
        <w:t>Generative AI disclosure</w:t>
      </w:r>
    </w:p>
    <w:p w14:paraId="7FB61B61">
      <w:pPr>
        <w:spacing w:before="0" w:after="160" w:line="360" w:lineRule="auto"/>
        <w:ind w:firstLine="720"/>
        <w:rPr>
          <w:rFonts w:hint="default"/>
          <w:sz w:val="22"/>
          <w:szCs w:val="22"/>
          <w:lang w:val="vi-VN"/>
        </w:rPr>
      </w:pPr>
      <w:r>
        <w:rPr>
          <w:rFonts w:ascii="Times New Roman" w:hAnsi="Times New Roman" w:eastAsia="Times New Roman"/>
          <w:b w:val="0"/>
          <w:i w:val="0"/>
          <w:sz w:val="22"/>
          <w:szCs w:val="22"/>
        </w:rPr>
        <w:t>Cursor (Grok 4.6) was used to compile counts from cleaning_report.json, features_report.json, and the training-split notebooks, and to format this Word file to the M3 section list, 12-point Times New Roman, 1.5 line spacing, and 1-inch margins</w:t>
      </w:r>
      <w:r>
        <w:rPr>
          <w:rFonts w:hint="default"/>
          <w:b w:val="0"/>
          <w:i w:val="0"/>
          <w:sz w:val="22"/>
          <w:szCs w:val="22"/>
          <w:lang w:val="vi-VN"/>
        </w:rPr>
        <w:t>, paraphrase the raw words in natural native english.</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바탕">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modern"/>
    <w:pitch w:val="default"/>
    <w:sig w:usb0="9000002F" w:usb1="29D77CFB" w:usb2="00000012" w:usb3="00000000" w:csb0="00080001"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E3109B"/>
    <w:rsid w:val="277C7846"/>
    <w:rsid w:val="28EC32AF"/>
    <w:rsid w:val="3F807F86"/>
    <w:rsid w:val="49D62D0B"/>
    <w:rsid w:val="57C354CF"/>
    <w:rsid w:val="67A05C50"/>
    <w:rsid w:val="75A209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Plain Text"/>
    <w:basedOn w:val="1"/>
    <w:qFormat/>
    <w:uiPriority w:val="0"/>
    <w:rPr>
      <w:rFonts w:ascii="Courier New" w:hAnsi="Courier New" w:eastAsia="바탕" w:cs="Courier New"/>
      <w:sz w:val="20"/>
      <w:szCs w:val="20"/>
      <w:lang w:eastAsia="ko-K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3859</Words>
  <Characters>21692</Characters>
  <Lines>0</Lines>
  <Paragraphs>0</Paragraphs>
  <TotalTime>1</TotalTime>
  <ScaleCrop>false</ScaleCrop>
  <LinksUpToDate>false</LinksUpToDate>
  <CharactersWithSpaces>25276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Tuấn Đoàn</cp:lastModifiedBy>
  <dcterms:modified xsi:type="dcterms:W3CDTF">2026-10-27T10:21:15Z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eyJoZGlkIjoiZWMzOWQ0ZTY0MzU4MzZmYjhjZjQxZDQzMTNlOTljNTgiLCJ1c2VySWQiOiIxMzkyMDE4NDQ4NTA2In0=</vt:lpwstr>
  </property>
  <property fmtid="{D5CDD505-2E9C-101B-9397-08002B2CF9AE}" pid="3" name="KSOProductBuildVer">
    <vt:lpwstr>1033-12.1.0.29162</vt:lpwstr>
  </property>
  <property fmtid="{D5CDD505-2E9C-101B-9397-08002B2CF9AE}" pid="4" name="ICV">
    <vt:lpwstr>B2FAA79080EC495291F4A2C218C6A74E_12</vt:lpwstr>
  </property>
</Properties>
</file>