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203</w:t>
      </w:r>
    </w:p>
    <w:p>
      <w:pPr>
        <w:pStyle w:val="Normal.0"/>
        <w:spacing w:line="480" w:lineRule="exact"/>
        <w:rPr>
          <w:rStyle w:val="Page Number"/>
          <w:sz w:val="24"/>
          <w:szCs w:val="24"/>
        </w:rPr>
      </w:pPr>
      <w:r>
        <w:rPr>
          <w:rStyle w:val="Page Number"/>
          <w:sz w:val="24"/>
          <w:szCs w:val="24"/>
          <w:rtl w:val="0"/>
          <w:lang w:val="en-US"/>
        </w:rPr>
        <w:t>Response Week 10</w:t>
      </w:r>
    </w:p>
    <w:p>
      <w:pPr>
        <w:pStyle w:val="Normal.0"/>
        <w:spacing w:line="480" w:lineRule="exact"/>
        <w:rPr>
          <w:rStyle w:val="Page Number"/>
          <w:sz w:val="24"/>
          <w:szCs w:val="24"/>
        </w:rPr>
      </w:pPr>
      <w:r>
        <w:rPr>
          <w:rStyle w:val="Page Number"/>
          <w:sz w:val="24"/>
          <w:szCs w:val="24"/>
          <w:rtl w:val="0"/>
          <w:lang w:val="en-US"/>
        </w:rPr>
        <w:t>16</w:t>
      </w:r>
      <w:r>
        <w:rPr>
          <w:rStyle w:val="Page Number"/>
          <w:sz w:val="24"/>
          <w:szCs w:val="24"/>
          <w:rtl w:val="0"/>
          <w:lang w:val="en-US"/>
        </w:rPr>
        <w:t xml:space="preserve"> </w:t>
      </w:r>
      <w:r>
        <w:rPr>
          <w:rStyle w:val="Page Number"/>
          <w:sz w:val="24"/>
          <w:szCs w:val="24"/>
          <w:rtl w:val="0"/>
          <w:lang w:val="en-US"/>
        </w:rPr>
        <w:t>April</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C</w:t>
      </w:r>
    </w:p>
    <w:p>
      <w:pPr>
        <w:pStyle w:val="Normal.0"/>
        <w:spacing w:line="480" w:lineRule="exact"/>
        <w:rPr>
          <w:rStyle w:val="Page Number"/>
          <w:sz w:val="24"/>
          <w:szCs w:val="24"/>
        </w:rPr>
      </w:pPr>
      <w:r>
        <w:rPr>
          <w:rStyle w:val="Page Number"/>
          <w:sz w:val="24"/>
          <w:szCs w:val="24"/>
          <w:rtl w:val="0"/>
        </w:rPr>
        <w:tab/>
        <w:t>Tim O</w:t>
      </w:r>
      <w:r>
        <w:rPr>
          <w:rStyle w:val="Page Number"/>
          <w:sz w:val="24"/>
          <w:szCs w:val="24"/>
          <w:rtl w:val="0"/>
          <w:lang w:val="en-US"/>
        </w:rPr>
        <w:t>’</w:t>
      </w:r>
      <w:r>
        <w:rPr>
          <w:rStyle w:val="Page Number"/>
          <w:sz w:val="24"/>
          <w:szCs w:val="24"/>
          <w:rtl w:val="0"/>
          <w:lang w:val="en-US"/>
        </w:rPr>
        <w:t xml:space="preserve">Brien detailed belongings of soldiers in the Vietnam war in his story </w:t>
      </w:r>
      <w:r>
        <w:rPr>
          <w:rStyle w:val="Page Number"/>
          <w:sz w:val="24"/>
          <w:szCs w:val="24"/>
          <w:rtl w:val="0"/>
          <w:lang w:val="en-US"/>
        </w:rPr>
        <w:t>“</w:t>
      </w:r>
      <w:r>
        <w:rPr>
          <w:rStyle w:val="Page Number"/>
          <w:sz w:val="24"/>
          <w:szCs w:val="24"/>
          <w:rtl w:val="0"/>
          <w:lang w:val="en-US"/>
        </w:rPr>
        <w:t>The Things They Carried</w:t>
      </w:r>
      <w:r>
        <w:rPr>
          <w:rStyle w:val="Page Number"/>
          <w:sz w:val="24"/>
          <w:szCs w:val="24"/>
          <w:rtl w:val="0"/>
          <w:lang w:val="en-US"/>
        </w:rPr>
        <w:t>”</w:t>
      </w:r>
      <w:r>
        <w:rPr>
          <w:rStyle w:val="Page Number"/>
          <w:sz w:val="24"/>
          <w:szCs w:val="24"/>
          <w:rtl w:val="0"/>
          <w:lang w:val="en-US"/>
        </w:rPr>
        <w:t xml:space="preserve">. He listed off many types of belongings: statues of buddha, wannabe love-letters, a lucky pebble, etc.. The belonging that most stood out to was the thumb Norman Bowker carried. The description was that of a gruesome death, which had become the norm to these men. </w:t>
      </w:r>
      <w:r>
        <w:rPr>
          <w:rStyle w:val="Page Number"/>
          <w:sz w:val="24"/>
          <w:szCs w:val="24"/>
          <w:rtl w:val="0"/>
          <w:lang w:val="en-US"/>
        </w:rPr>
        <w:t>“</w:t>
      </w:r>
      <w:r>
        <w:rPr>
          <w:rStyle w:val="Page Number"/>
          <w:sz w:val="24"/>
          <w:szCs w:val="24"/>
          <w:rtl w:val="0"/>
          <w:lang w:val="en-US"/>
        </w:rPr>
        <w:t>T</w:t>
      </w:r>
      <w:r>
        <w:rPr>
          <w:rStyle w:val="Page Number"/>
          <w:sz w:val="24"/>
          <w:szCs w:val="24"/>
          <w:rtl w:val="0"/>
          <w:lang w:val="en-US"/>
        </w:rPr>
        <w:t>he thumb was dark brown, rubbery to the touch, and weighed 4 ounces at most. It had been cut from a VC corpse, a boy of fifteen or sixteen. They'd found him at the bottom of an irrigation ditch, badly burned, flies in his mouth and eyes</w:t>
      </w:r>
      <w:r>
        <w:rPr>
          <w:rStyle w:val="Page Number"/>
          <w:sz w:val="24"/>
          <w:szCs w:val="24"/>
          <w:rtl w:val="0"/>
          <w:lang w:val="en-US"/>
        </w:rPr>
        <w:t xml:space="preserve">” </w:t>
      </w:r>
      <w:r>
        <w:rPr>
          <w:rStyle w:val="Page Number"/>
          <w:sz w:val="24"/>
          <w:szCs w:val="24"/>
          <w:rtl w:val="0"/>
          <w:lang w:val="en-US"/>
        </w:rPr>
        <w:t>(O</w:t>
      </w:r>
      <w:r>
        <w:rPr>
          <w:rStyle w:val="Page Number"/>
          <w:sz w:val="24"/>
          <w:szCs w:val="24"/>
          <w:rtl w:val="0"/>
          <w:lang w:val="en-US"/>
        </w:rPr>
        <w:t>’</w:t>
      </w:r>
      <w:r>
        <w:rPr>
          <w:rStyle w:val="Page Number"/>
          <w:sz w:val="24"/>
          <w:szCs w:val="24"/>
          <w:rtl w:val="0"/>
          <w:lang w:val="en-US"/>
        </w:rPr>
        <w:t>Brien 15). To Norman this thumb signified more than just one boy</w:t>
      </w:r>
      <w:r>
        <w:rPr>
          <w:rStyle w:val="Page Number"/>
          <w:sz w:val="24"/>
          <w:szCs w:val="24"/>
          <w:rtl w:val="0"/>
          <w:lang w:val="en-US"/>
        </w:rPr>
        <w:t>’</w:t>
      </w:r>
      <w:r>
        <w:rPr>
          <w:rStyle w:val="Page Number"/>
          <w:sz w:val="24"/>
          <w:szCs w:val="24"/>
          <w:rtl w:val="0"/>
          <w:lang w:val="en-US"/>
        </w:rPr>
        <w:t>s death. It probably signified the outright confusion taking over the soldiers. They were taught and trained to hate the Vietnamese people, to hate the soil they dug trenches in, to hate the sky above them. In all of this training they we</w:t>
      </w:r>
      <w:r>
        <w:rPr>
          <w:rStyle w:val="Page Number"/>
          <w:sz w:val="24"/>
          <w:szCs w:val="24"/>
          <w:rtl w:val="0"/>
          <w:lang w:val="en-US"/>
        </w:rPr>
        <w:t>’</w:t>
      </w:r>
      <w:r>
        <w:rPr>
          <w:rStyle w:val="Page Number"/>
          <w:sz w:val="24"/>
          <w:szCs w:val="24"/>
          <w:rtl w:val="0"/>
          <w:lang w:val="en-US"/>
        </w:rPr>
        <w:t xml:space="preserve">re not taught how to deal with the shear amount of death they would come to see and take part in first hand. </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B</w:t>
      </w:r>
    </w:p>
    <w:p>
      <w:pPr>
        <w:pStyle w:val="Normal.0"/>
        <w:spacing w:line="480" w:lineRule="exact"/>
        <w:rPr>
          <w:rStyle w:val="Page Number"/>
          <w:sz w:val="24"/>
          <w:szCs w:val="24"/>
        </w:rPr>
      </w:pPr>
      <w:r>
        <w:rPr>
          <w:rStyle w:val="Page Number"/>
          <w:sz w:val="24"/>
          <w:szCs w:val="24"/>
          <w:rtl w:val="0"/>
        </w:rPr>
        <w:tab/>
        <w:t xml:space="preserve">The epilogue written by </w:t>
      </w:r>
      <w:r>
        <w:rPr>
          <w:rStyle w:val="Page Number"/>
          <w:sz w:val="24"/>
          <w:szCs w:val="24"/>
          <w:rtl w:val="0"/>
          <w:lang w:val="en-US"/>
        </w:rPr>
        <w:t>Marilyn B. Young</w:t>
      </w:r>
      <w:r>
        <w:rPr>
          <w:rStyle w:val="Page Number"/>
          <w:sz w:val="24"/>
          <w:szCs w:val="24"/>
          <w:rtl w:val="0"/>
          <w:lang w:val="en-US"/>
        </w:rPr>
        <w:t xml:space="preserve"> provided a saddening look into the way veterans were treated after the Vietnam war. The most sobering part of reading this epilogue was the recognition of just how little this problem has been changed in the years between then and now. Luckily now veterans and their families are more vocal about what goes on at home after a war, but so little money is diverted to veteran programs that it can still be perceived as an issue the U.S. government simply brushes off. With more research going into PTSD, less Americans feel so gung-ho about fighting for their country. This obviously goes against the national security interests of our country and provides a scenario in which our soldiers don</w:t>
      </w:r>
      <w:r>
        <w:rPr>
          <w:rStyle w:val="Page Number"/>
          <w:sz w:val="24"/>
          <w:szCs w:val="24"/>
          <w:rtl w:val="0"/>
          <w:lang w:val="en-US"/>
        </w:rPr>
        <w:t>’</w:t>
      </w:r>
      <w:r>
        <w:rPr>
          <w:rStyle w:val="Page Number"/>
          <w:sz w:val="24"/>
          <w:szCs w:val="24"/>
          <w:rtl w:val="0"/>
          <w:lang w:val="en-US"/>
        </w:rPr>
        <w:t>t want to complain  to their higher-ups about horrible experiences and trauma. This sort of hush-hush attitude was touched on in Young</w:t>
      </w:r>
      <w:r>
        <w:rPr>
          <w:rStyle w:val="Page Number"/>
          <w:sz w:val="24"/>
          <w:szCs w:val="24"/>
          <w:rtl w:val="0"/>
          <w:lang w:val="en-US"/>
        </w:rPr>
        <w:t>’</w:t>
      </w:r>
      <w:r>
        <w:rPr>
          <w:rStyle w:val="Page Number"/>
          <w:sz w:val="24"/>
          <w:szCs w:val="24"/>
          <w:rtl w:val="0"/>
          <w:lang w:val="en-US"/>
        </w:rPr>
        <w:t xml:space="preserve">s epilogue, </w:t>
      </w:r>
      <w:r>
        <w:rPr>
          <w:rStyle w:val="Page Number"/>
          <w:sz w:val="24"/>
          <w:szCs w:val="24"/>
          <w:rtl w:val="0"/>
          <w:lang w:val="en-US"/>
        </w:rPr>
        <w:t>“</w:t>
      </w:r>
      <w:r>
        <w:rPr>
          <w:rStyle w:val="Page Number"/>
          <w:sz w:val="24"/>
          <w:szCs w:val="24"/>
          <w:rtl w:val="0"/>
          <w:lang w:val="en-US"/>
        </w:rPr>
        <w:t xml:space="preserve">Even the Veterans Administration, obviously reluctant to single out Vietnam veterans as having any particular difficulties (especially in the light of the meager benefits accorded them), reported a </w:t>
      </w:r>
      <w:r>
        <w:rPr>
          <w:rStyle w:val="Page Number"/>
          <w:sz w:val="24"/>
          <w:szCs w:val="24"/>
          <w:rtl w:val="0"/>
          <w:lang w:val="en-US"/>
        </w:rPr>
        <w:t>‘</w:t>
      </w:r>
      <w:r>
        <w:rPr>
          <w:rStyle w:val="Page Number"/>
          <w:sz w:val="24"/>
          <w:szCs w:val="24"/>
          <w:rtl w:val="0"/>
          <w:lang w:val="en-US"/>
        </w:rPr>
        <w:t>greater distrust of institutions</w:t>
      </w:r>
      <w:r>
        <w:rPr>
          <w:rStyle w:val="Page Number"/>
          <w:sz w:val="24"/>
          <w:szCs w:val="24"/>
          <w:rtl w:val="0"/>
          <w:lang w:val="en-US"/>
        </w:rPr>
        <w:t>’</w:t>
      </w:r>
      <w:r>
        <w:rPr>
          <w:rStyle w:val="Page Number"/>
          <w:sz w:val="24"/>
          <w:szCs w:val="24"/>
          <w:rtl w:val="0"/>
          <w:lang w:val="en-US"/>
        </w:rPr>
        <w:t xml:space="preserve"> and a </w:t>
      </w:r>
      <w:r>
        <w:rPr>
          <w:rStyle w:val="Page Number"/>
          <w:sz w:val="24"/>
          <w:szCs w:val="24"/>
          <w:rtl w:val="0"/>
          <w:lang w:val="en-US"/>
        </w:rPr>
        <w:t>‘</w:t>
      </w:r>
      <w:r>
        <w:rPr>
          <w:rStyle w:val="Page Number"/>
          <w:sz w:val="24"/>
          <w:szCs w:val="24"/>
          <w:rtl w:val="0"/>
          <w:lang w:val="en-US"/>
        </w:rPr>
        <w:t>bitterness, disgust and suspicion of those in positions of authority and responsibility.</w:t>
      </w:r>
      <w:r>
        <w:rPr>
          <w:rStyle w:val="Page Number"/>
          <w:sz w:val="24"/>
          <w:szCs w:val="24"/>
          <w:rtl w:val="0"/>
          <w:lang w:val="en-US"/>
        </w:rPr>
        <w:t xml:space="preserve">’” </w:t>
      </w:r>
      <w:r>
        <w:rPr>
          <w:rStyle w:val="Page Number"/>
          <w:sz w:val="24"/>
          <w:szCs w:val="24"/>
          <w:rtl w:val="0"/>
          <w:lang w:val="en-US"/>
        </w:rPr>
        <w:t>(Young 321). With more openness from not only the soldiers affected by war but their families, we will hopefully see progress regarding the treatment of our veterans.</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B</w:t>
      </w:r>
    </w:p>
    <w:p>
      <w:pPr>
        <w:pStyle w:val="Normal.0"/>
        <w:spacing w:line="480" w:lineRule="exact"/>
        <w:rPr>
          <w:rStyle w:val="Page Number"/>
          <w:sz w:val="24"/>
          <w:szCs w:val="24"/>
        </w:rPr>
      </w:pPr>
      <w:r>
        <w:rPr>
          <w:rStyle w:val="Page Number"/>
          <w:sz w:val="24"/>
          <w:szCs w:val="24"/>
          <w:rtl w:val="0"/>
        </w:rPr>
        <w:tab/>
        <w:t xml:space="preserve">Milton Friedman explicitly refutes the idea that a corporation should be considered a person in the eyes of the government, or anybody else. What he claims is that a corporation is an </w:t>
      </w:r>
      <w:r>
        <w:rPr>
          <w:rStyle w:val="Page Number"/>
          <w:sz w:val="24"/>
          <w:szCs w:val="24"/>
          <w:rtl w:val="0"/>
          <w:lang w:val="en-US"/>
        </w:rPr>
        <w:t>“</w:t>
      </w:r>
      <w:r>
        <w:rPr>
          <w:rStyle w:val="Page Number"/>
          <w:sz w:val="24"/>
          <w:szCs w:val="24"/>
          <w:rtl w:val="0"/>
          <w:lang w:val="en-US"/>
        </w:rPr>
        <w:t>artificial person and in this sense may have artificial responsibilities, but "business" as a whole cannot be said to have responsibilities, even in this vague sense</w:t>
      </w:r>
      <w:r>
        <w:rPr>
          <w:rStyle w:val="Page Number"/>
          <w:sz w:val="24"/>
          <w:szCs w:val="24"/>
          <w:rtl w:val="0"/>
          <w:lang w:val="en-US"/>
        </w:rPr>
        <w:t xml:space="preserve">” </w:t>
      </w:r>
      <w:r>
        <w:rPr>
          <w:rStyle w:val="Page Number"/>
          <w:sz w:val="24"/>
          <w:szCs w:val="24"/>
          <w:rtl w:val="0"/>
          <w:lang w:val="en-US"/>
        </w:rPr>
        <w:t xml:space="preserve">(Friedman 1). The idea that a business is one entity is absurd in his eyes, because a business would not be able to exist on its own. He brings up the fact that certain people may be the </w:t>
      </w:r>
      <w:r>
        <w:rPr>
          <w:rStyle w:val="Page Number"/>
          <w:sz w:val="24"/>
          <w:szCs w:val="24"/>
          <w:rtl w:val="0"/>
          <w:lang w:val="en-US"/>
        </w:rPr>
        <w:t>“</w:t>
      </w:r>
      <w:r>
        <w:rPr>
          <w:rStyle w:val="Page Number"/>
          <w:sz w:val="24"/>
          <w:szCs w:val="24"/>
          <w:rtl w:val="0"/>
          <w:lang w:val="en-US"/>
        </w:rPr>
        <w:t>face</w:t>
      </w:r>
      <w:r>
        <w:rPr>
          <w:rStyle w:val="Page Number"/>
          <w:sz w:val="24"/>
          <w:szCs w:val="24"/>
          <w:rtl w:val="0"/>
          <w:lang w:val="en-US"/>
        </w:rPr>
        <w:t xml:space="preserve">” </w:t>
      </w:r>
      <w:r>
        <w:rPr>
          <w:rStyle w:val="Page Number"/>
          <w:sz w:val="24"/>
          <w:szCs w:val="24"/>
          <w:rtl w:val="0"/>
          <w:lang w:val="en-US"/>
        </w:rPr>
        <w:t xml:space="preserve">of a corporation such as the executives and that </w:t>
      </w:r>
      <w:r>
        <w:rPr>
          <w:rStyle w:val="Page Number"/>
          <w:sz w:val="24"/>
          <w:szCs w:val="24"/>
          <w:rtl w:val="0"/>
          <w:lang w:val="en-US"/>
        </w:rPr>
        <w:t>“</w:t>
      </w:r>
      <w:r>
        <w:rPr>
          <w:rStyle w:val="Page Number"/>
          <w:sz w:val="24"/>
          <w:szCs w:val="24"/>
          <w:rtl w:val="0"/>
          <w:lang w:val="en-US"/>
        </w:rPr>
        <w:t>As a person, he may have many other responsibilities that he recognizes or assumes voluntarily</w:t>
      </w:r>
      <w:r>
        <w:rPr>
          <w:rStyle w:val="Page Number"/>
          <w:sz w:val="24"/>
          <w:szCs w:val="24"/>
          <w:rtl w:val="0"/>
          <w:lang w:val="en-US"/>
        </w:rPr>
        <w:t>–</w:t>
      </w:r>
      <w:r>
        <w:rPr>
          <w:rStyle w:val="Page Number"/>
          <w:sz w:val="24"/>
          <w:szCs w:val="24"/>
          <w:rtl w:val="0"/>
          <w:lang w:val="en-US"/>
        </w:rPr>
        <w:t>to his family, his conscience, his feelings of charity, his church, his clubs, his city, his country</w:t>
      </w:r>
      <w:r>
        <w:rPr>
          <w:rStyle w:val="Page Number"/>
          <w:sz w:val="24"/>
          <w:szCs w:val="24"/>
          <w:rtl w:val="0"/>
          <w:lang w:val="en-US"/>
        </w:rPr>
        <w:t xml:space="preserve">” </w:t>
      </w:r>
      <w:r>
        <w:rPr>
          <w:rStyle w:val="Page Number"/>
          <w:sz w:val="24"/>
          <w:szCs w:val="24"/>
          <w:rtl w:val="0"/>
          <w:lang w:val="en-US"/>
        </w:rPr>
        <w:t xml:space="preserve">(Friedman 2). He claims that a business is not cognizant, and this alone is reason enough to believe that the idea of personifying a business from the perspective of the U.S. government is against the thoughts outlined in his essay. </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w:t>
      </w:r>
    </w:p>
    <w:p>
      <w:pPr>
        <w:pStyle w:val="Normal.0"/>
        <w:spacing w:line="480" w:lineRule="exact"/>
        <w:rPr>
          <w:rStyle w:val="Page Number"/>
          <w:sz w:val="24"/>
          <w:szCs w:val="24"/>
        </w:rPr>
      </w:pPr>
      <w:r>
        <w:rPr>
          <w:rStyle w:val="Page Number"/>
          <w:sz w:val="24"/>
          <w:szCs w:val="24"/>
          <w:rtl w:val="0"/>
        </w:rPr>
        <w:tab/>
        <w:t>The undeniable decline of patriotism in the era of the Vietnam war was the topic of Creedence Clearwater Revival</w:t>
      </w:r>
      <w:r>
        <w:rPr>
          <w:rStyle w:val="Page Number"/>
          <w:sz w:val="24"/>
          <w:szCs w:val="24"/>
          <w:rtl w:val="0"/>
          <w:lang w:val="en-US"/>
        </w:rPr>
        <w:t>’</w:t>
      </w:r>
      <w:r>
        <w:rPr>
          <w:rStyle w:val="Page Number"/>
          <w:sz w:val="24"/>
          <w:szCs w:val="24"/>
          <w:rtl w:val="0"/>
          <w:lang w:val="en-US"/>
        </w:rPr>
        <w:t xml:space="preserve">s </w:t>
      </w:r>
      <w:r>
        <w:rPr>
          <w:rStyle w:val="Page Number"/>
          <w:sz w:val="24"/>
          <w:szCs w:val="24"/>
          <w:rtl w:val="0"/>
          <w:lang w:val="en-US"/>
        </w:rPr>
        <w:t>“</w:t>
      </w:r>
      <w:r>
        <w:rPr>
          <w:rStyle w:val="Page Number"/>
          <w:sz w:val="24"/>
          <w:szCs w:val="24"/>
          <w:rtl w:val="0"/>
          <w:lang w:val="en-US"/>
        </w:rPr>
        <w:t>Fortunate Son</w:t>
      </w:r>
      <w:r>
        <w:rPr>
          <w:rStyle w:val="Page Number"/>
          <w:sz w:val="24"/>
          <w:szCs w:val="24"/>
          <w:rtl w:val="0"/>
          <w:lang w:val="en-US"/>
        </w:rPr>
        <w:t>”</w:t>
      </w:r>
      <w:r>
        <w:rPr>
          <w:rStyle w:val="Page Number"/>
          <w:sz w:val="24"/>
          <w:szCs w:val="24"/>
          <w:rtl w:val="0"/>
          <w:lang w:val="en-US"/>
        </w:rPr>
        <w:t>, and this is followed by a time period of music that spawned Bruce Springsteen</w:t>
      </w:r>
      <w:r>
        <w:rPr>
          <w:rStyle w:val="Page Number"/>
          <w:sz w:val="24"/>
          <w:szCs w:val="24"/>
          <w:rtl w:val="0"/>
          <w:lang w:val="en-US"/>
        </w:rPr>
        <w:t>’</w:t>
      </w:r>
      <w:r>
        <w:rPr>
          <w:rStyle w:val="Page Number"/>
          <w:sz w:val="24"/>
          <w:szCs w:val="24"/>
          <w:rtl w:val="0"/>
          <w:lang w:val="en-US"/>
        </w:rPr>
        <w:t xml:space="preserve">s </w:t>
      </w:r>
      <w:r>
        <w:rPr>
          <w:rStyle w:val="Page Number"/>
          <w:sz w:val="24"/>
          <w:szCs w:val="24"/>
          <w:rtl w:val="0"/>
          <w:lang w:val="en-US"/>
        </w:rPr>
        <w:t>“</w:t>
      </w:r>
      <w:r>
        <w:rPr>
          <w:rStyle w:val="Page Number"/>
          <w:sz w:val="24"/>
          <w:szCs w:val="24"/>
          <w:rtl w:val="0"/>
          <w:lang w:val="en-US"/>
        </w:rPr>
        <w:t>Born in the USA</w:t>
      </w:r>
      <w:r>
        <w:rPr>
          <w:rStyle w:val="Page Number"/>
          <w:sz w:val="24"/>
          <w:szCs w:val="24"/>
          <w:rtl w:val="0"/>
          <w:lang w:val="en-US"/>
        </w:rPr>
        <w:t>”</w:t>
      </w:r>
      <w:r>
        <w:rPr>
          <w:rStyle w:val="Page Number"/>
          <w:sz w:val="24"/>
          <w:szCs w:val="24"/>
          <w:rtl w:val="0"/>
          <w:lang w:val="en-US"/>
        </w:rPr>
        <w:t>. The prior highlights the thoughts going through the minds of the younger generation, explaining that they aren</w:t>
      </w:r>
      <w:r>
        <w:rPr>
          <w:rStyle w:val="Page Number"/>
          <w:sz w:val="24"/>
          <w:szCs w:val="24"/>
          <w:rtl w:val="0"/>
          <w:lang w:val="en-US"/>
        </w:rPr>
        <w:t>’</w:t>
      </w:r>
      <w:r>
        <w:rPr>
          <w:rStyle w:val="Page Number"/>
          <w:sz w:val="24"/>
          <w:szCs w:val="24"/>
          <w:rtl w:val="0"/>
          <w:lang w:val="en-US"/>
        </w:rPr>
        <w:t>t lucky enough to escape the war due to their family</w:t>
      </w:r>
      <w:r>
        <w:rPr>
          <w:rStyle w:val="Page Number"/>
          <w:sz w:val="24"/>
          <w:szCs w:val="24"/>
          <w:rtl w:val="0"/>
          <w:lang w:val="en-US"/>
        </w:rPr>
        <w:t>’</w:t>
      </w:r>
      <w:r>
        <w:rPr>
          <w:rStyle w:val="Page Number"/>
          <w:sz w:val="24"/>
          <w:szCs w:val="24"/>
          <w:rtl w:val="0"/>
          <w:lang w:val="en-US"/>
        </w:rPr>
        <w:t xml:space="preserve">s money or political influence. </w:t>
      </w:r>
      <w:r>
        <w:rPr>
          <w:rStyle w:val="Page Number"/>
          <w:sz w:val="24"/>
          <w:szCs w:val="24"/>
          <w:rtl w:val="0"/>
          <w:lang w:val="en-US"/>
        </w:rPr>
        <w:t>“</w:t>
      </w:r>
      <w:r>
        <w:rPr>
          <w:rStyle w:val="Page Number"/>
          <w:sz w:val="24"/>
          <w:szCs w:val="24"/>
          <w:rtl w:val="0"/>
          <w:lang w:val="en-US"/>
        </w:rPr>
        <w:t>It ain't me, it ain't me</w:t>
      </w:r>
      <w:r>
        <w:rPr>
          <w:rStyle w:val="Page Number"/>
          <w:rFonts w:ascii="Arial Unicode MS" w:cs="Arial Unicode MS" w:hAnsi="Arial Unicode MS" w:eastAsia="Arial Unicode MS"/>
          <w:b w:val="0"/>
          <w:bCs w:val="0"/>
          <w:i w:val="0"/>
          <w:iCs w:val="0"/>
          <w:sz w:val="24"/>
          <w:szCs w:val="24"/>
        </w:rPr>
        <w:br w:type="textWrapping"/>
      </w:r>
      <w:r>
        <w:rPr>
          <w:rStyle w:val="Page Number"/>
          <w:sz w:val="24"/>
          <w:szCs w:val="24"/>
          <w:rtl w:val="0"/>
          <w:lang w:val="en-US"/>
        </w:rPr>
        <w:t>I ain't no senator's son, son</w:t>
      </w:r>
      <w:r>
        <w:rPr>
          <w:rStyle w:val="Page Number"/>
          <w:sz w:val="24"/>
          <w:szCs w:val="24"/>
          <w:rtl w:val="0"/>
          <w:lang w:val="en-US"/>
        </w:rPr>
        <w:t xml:space="preserve">” </w:t>
      </w:r>
      <w:r>
        <w:rPr>
          <w:rStyle w:val="Page Number"/>
          <w:sz w:val="24"/>
          <w:szCs w:val="24"/>
          <w:rtl w:val="0"/>
          <w:lang w:val="en-US"/>
        </w:rPr>
        <w:t xml:space="preserve">is a clear explanation of this feeling. In </w:t>
      </w:r>
      <w:r>
        <w:rPr>
          <w:rStyle w:val="Page Number"/>
          <w:sz w:val="24"/>
          <w:szCs w:val="24"/>
          <w:rtl w:val="0"/>
          <w:lang w:val="en-US"/>
        </w:rPr>
        <w:t>“</w:t>
      </w:r>
      <w:r>
        <w:rPr>
          <w:rStyle w:val="Page Number"/>
          <w:sz w:val="24"/>
          <w:szCs w:val="24"/>
          <w:rtl w:val="0"/>
          <w:lang w:val="en-US"/>
        </w:rPr>
        <w:t>Born in the USA</w:t>
      </w:r>
      <w:r>
        <w:rPr>
          <w:rStyle w:val="Page Number"/>
          <w:sz w:val="24"/>
          <w:szCs w:val="24"/>
          <w:rtl w:val="0"/>
          <w:lang w:val="en-US"/>
        </w:rPr>
        <w:t>”</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I'm ten years burning down the road</w:t>
      </w:r>
      <w:r>
        <w:rPr>
          <w:rStyle w:val="Page Number"/>
          <w:sz w:val="24"/>
          <w:szCs w:val="24"/>
          <w:rtl w:val="0"/>
          <w:lang w:val="en-US"/>
        </w:rPr>
        <w:t xml:space="preserve"> </w:t>
      </w:r>
      <w:r>
        <w:rPr>
          <w:rStyle w:val="Page Number"/>
          <w:sz w:val="24"/>
          <w:szCs w:val="24"/>
          <w:rtl w:val="0"/>
          <w:lang w:val="en-US"/>
        </w:rPr>
        <w:t>Nowhere to run ain't got nowhere to go</w:t>
      </w:r>
      <w:r>
        <w:rPr>
          <w:rStyle w:val="Page Number"/>
          <w:sz w:val="24"/>
          <w:szCs w:val="24"/>
          <w:rtl w:val="0"/>
          <w:lang w:val="en-US"/>
        </w:rPr>
        <w:t xml:space="preserve">” </w:t>
      </w:r>
      <w:r>
        <w:rPr>
          <w:rStyle w:val="Page Number"/>
          <w:sz w:val="24"/>
          <w:szCs w:val="24"/>
          <w:rtl w:val="0"/>
          <w:lang w:val="en-US"/>
        </w:rPr>
        <w:t>symbolizes the other end of the war, when veterans were left without proper help</w:t>
      </w:r>
      <w:r>
        <w:rPr>
          <w:rStyle w:val="Page Number"/>
          <w:sz w:val="24"/>
          <w:szCs w:val="24"/>
          <w:rtl w:val="0"/>
          <w:lang w:val="en-US"/>
        </w:rPr>
        <w:t>—</w:t>
      </w:r>
      <w:r>
        <w:rPr>
          <w:rStyle w:val="Page Number"/>
          <w:sz w:val="24"/>
          <w:szCs w:val="24"/>
          <w:rtl w:val="0"/>
          <w:lang w:val="en-US"/>
        </w:rPr>
        <w:t>physically or mentally.</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w:t>
      </w:r>
      <w:r>
        <w:rPr>
          <w:rFonts w:ascii="Times New Roman" w:hAnsi="Times New Roman" w:hint="default"/>
          <w:sz w:val="24"/>
          <w:szCs w:val="24"/>
          <w:rtl w:val="0"/>
          <w:lang w:val="en-US"/>
        </w:rPr>
        <w:t>’</w:t>
      </w:r>
      <w:r>
        <w:rPr>
          <w:rFonts w:ascii="Times New Roman" w:hAnsi="Times New Roman"/>
          <w:sz w:val="24"/>
          <w:szCs w:val="24"/>
          <w:rtl w:val="0"/>
          <w:lang w:val="en-US"/>
        </w:rPr>
        <w:t xml:space="preserve">Brien, Tim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"https://ares.library.unr.edu/ares/ares.dll?SessionID=L072524800V&amp;Action=10&amp;Type=10&amp;Value=74686"</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https://ares.library.unr.edu/ares/ares.dll?SessionID=L072524800V&amp;Action=10&amp;Type=10&amp;Value=74686</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Young, Marilyn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"https://ares.library.unr.edu/ares/ares.dll?SessionID=L072524800V&amp;Action=10&amp;Type=10&amp;Value=74692"</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https://ares.library.unr.edu/ares/ares.dll?SessionID=L072524800V&amp;Action=10&amp;Type=10&amp;Value=74692</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Friedman, Milton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"https://ares.library.unr.edu/ares/ares.dll?SessionID=L072524800V&amp;Action=10&amp;Type=10&amp;Value=74675"</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https://ares.library.unr.edu/ares/ares.dll?SessionID=L072524800V&amp;Action=10&amp;Type=10&amp;Value=74675</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Springsteen, Bruce | Provided in webcampus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Creedence Clearwater Revival | Provided in webcampus</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4</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