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核电领域「知识三元组 + 参数定值表」POC 实施方案</w:t>
      </w:r>
    </w:p>
    <w:p>
      <w:pPr>
        <w:jc w:val="center"/>
      </w:pPr>
      <w:r>
        <w:rPr>
          <w:color w:val="666666"/>
          <w:sz w:val="20"/>
        </w:rPr>
        <w:t>面向公开资料验证的流水线设计 · 可平移至内网生产环境</w:t>
      </w:r>
    </w:p>
    <w:p>
      <w:pPr>
        <w:pStyle w:val="Heading1"/>
      </w:pPr>
      <w:r>
        <w:t>一、背景、目标与验收标准</w:t>
      </w:r>
    </w:p>
    <w:p>
      <w:pPr>
        <w:pStyle w:val="Heading2"/>
      </w:pPr>
      <w:r>
        <w:t>1.1 要解决的问题</w:t>
      </w:r>
    </w:p>
    <w:p>
      <w:pPr>
        <w:pStyle w:val="ListBullet"/>
      </w:pPr>
      <w:r>
        <w:t>核电技术文档（系统设计手册、运行规程、定值清单）数量大、口径杂、跨文档引用多，全文检索难以回答“某故障的全部因果链”“某参数在两种工况下的定值差异”这类结构化问题。</w:t>
      </w:r>
    </w:p>
    <w:p>
      <w:pPr>
        <w:pStyle w:val="ListBullet"/>
      </w:pPr>
      <w:r>
        <w:t>知识图谱把散落在叙述文本与表格中的事实抽成统一的（主语—关系—宾语）三元组和参数定值记录，使跨文档一致性校验、反向诊断、多跳追溯成为可能。</w:t>
      </w:r>
    </w:p>
    <w:p>
      <w:pPr>
        <w:pStyle w:val="ListBullet"/>
      </w:pPr>
      <w:r>
        <w:t>本 POC 的目标不是产出真实数据，而是验证：在给定文档形态下，LLM 抽取 + 规则后处理能否稳定达到可用的质量水平。</w:t>
      </w:r>
    </w:p>
    <w:p>
      <w:pPr>
        <w:pStyle w:val="Heading2"/>
      </w:pPr>
      <w:r>
        <w:t>1.2 合规前提（务必先做）</w:t>
      </w:r>
    </w:p>
    <w:p>
      <w:r>
        <w:rPr>
          <w:color w:val="B03020"/>
        </w:rPr>
        <w:t>核电文档的保密管理通常非常严格，把文档导出到外网这个动作本身就可能有合规风险，即使文档本身不是涉密级别。正式启动前须与文档所有方 / 保密部门确认。</w:t>
      </w:r>
    </w:p>
    <w:p>
      <w:r>
        <w:t>更稳妥的做法：POC 用公开资料替代真实文档。流程、prompt、质检逻辑完全一样；公开替代品包括：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17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4252"/>
          </w:tcPr>
          <w:p>
            <w:r>
              <w:rPr>
                <w:b/>
                <w:sz w:val="18"/>
              </w:rPr>
              <w:t>推荐来源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大学教材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《核电厂系统与设备》类公开教材（西安交大、清华版）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长篇叙述性文本的三元组抽取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公开标准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GB/T 系列（如 GB/T 12727）等国标 / 行标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规程逻辑 + 参数限值表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国际报告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IAEA 公开技术报告（NS-G 系列，官网免费下载）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补充国际口径的表述多样性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公开章节</w:t>
            </w:r>
          </w:p>
        </w:tc>
        <w:tc>
          <w:tcPr>
            <w:tcW w:type="dxa" w:w="4252"/>
          </w:tcPr>
          <w:p>
            <w:r>
              <w:rPr>
                <w:sz w:val="18"/>
              </w:rPr>
              <w:t>核电厂官网的系统介绍、FSAR 公开章节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真实工程表述风格的样本</w:t>
            </w:r>
          </w:p>
        </w:tc>
      </w:tr>
    </w:tbl>
    <w:p/>
    <w:p>
      <w:pPr>
        <w:pStyle w:val="Heading2"/>
      </w:pPr>
      <w:r>
        <w:t>1.3 量化验收标准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目标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量化标准</w:t>
            </w:r>
          </w:p>
        </w:tc>
        <w:tc>
          <w:tcPr>
            <w:tcW w:type="dxa" w:w="3288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三元组抽取质量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对金标准集：准确率 P ≥ 85%，召回率 R ≥ 75%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基于 NLI 校验 + 人工核对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定值表抽取质量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字段级准确率 ≥ 95%，行召回率 ≥ 90%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逐字段比对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图谱可用性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10 个典型问题查询 ≥ 7 个能正确回答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期末考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可平移性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流水线不依赖特定文档格式，换文档只需重跑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配置驱动</w:t>
            </w:r>
          </w:p>
        </w:tc>
      </w:tr>
    </w:tbl>
    <w:p/>
    <w:p>
      <w:r>
        <w:t>内置演示数据上的实跑结果：三元组 P=0.977 / R=0.913 / F1=0.944；定值表字段准确率=0.977、行召回率=1.000；10 个验证查询全部返回预期结果。（详见 outputs/report.md）</w:t>
      </w:r>
    </w:p>
    <w:p>
      <w:pPr>
        <w:pStyle w:val="Heading1"/>
      </w:pPr>
      <w:r>
        <w:t>二、整体架构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68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3855"/>
          </w:tcPr>
          <w:p>
            <w:r>
              <w:rPr>
                <w:b/>
                <w:sz w:val="18"/>
              </w:rPr>
              <w:t>关键产物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①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文档准备：3~5 份资料 + 1 份人工标注金标准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金标准集、术语表 v1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②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解析切分：结构化 chunk，表格独立成块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chunks.jsonl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③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本体设计：实体类型 + 关系类型 + 定值 schema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ontology.yaml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④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LLM 抽取：JSON 约束输出，一次一个 chunk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raw_triples / raw_setpoints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⑤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后处理：Schema 校验 + 归一 + 数值校验 + NLI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triples / setpoints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⑥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质量闭环：金标准评估 + 分桶分析 + 人工抽检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report.md</w:t>
            </w:r>
          </w:p>
        </w:tc>
      </w:tr>
      <w:tr>
        <w:tc>
          <w:tcPr>
            <w:tcW w:type="dxa" w:w="680"/>
          </w:tcPr>
          <w:p>
            <w:r>
              <w:rPr>
                <w:sz w:val="18"/>
              </w:rPr>
              <w:t>⑦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图谱构建：JSONL → Neo4j + 定值表入库 + 验证查询</w:t>
            </w:r>
          </w:p>
        </w:tc>
        <w:tc>
          <w:tcPr>
            <w:tcW w:type="dxa" w:w="3855"/>
          </w:tcPr>
          <w:p>
            <w:r>
              <w:rPr>
                <w:sz w:val="18"/>
              </w:rPr>
              <w:t>nodes / edges / graph.cypher</w:t>
            </w:r>
          </w:p>
        </w:tc>
      </w:tr>
    </w:tbl>
    <w:p/>
    <w:p>
      <w:pPr>
        <w:pStyle w:val="Heading1"/>
      </w:pPr>
      <w:r>
        <w:t>三、数据准备与金标准</w:t>
      </w:r>
    </w:p>
    <w:p>
      <w:r>
        <w:t>选 3~5 份文档，覆盖三种不同“文档性格”，验证才有代表性：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2381"/>
          </w:tcPr>
          <w:p>
            <w:r>
              <w:rPr>
                <w:b/>
                <w:sz w:val="18"/>
              </w:rPr>
              <w:t>文档角色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典型公开替代品</w:t>
            </w:r>
          </w:p>
        </w:tc>
        <w:tc>
          <w:tcPr>
            <w:tcW w:type="dxa" w:w="3288"/>
          </w:tcPr>
          <w:p>
            <w:r>
              <w:rPr>
                <w:b/>
                <w:sz w:val="18"/>
              </w:rPr>
              <w:t>验证什么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系统描述类（长篇叙述）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教材某一章（如蒸汽发生器 / 一回路系统）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叙述文本中的三元组抽取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规程 / 导则类（步骤 + 条件）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运行导则或国标的操作部分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流程类关系：触发、前置、执行</w:t>
            </w:r>
          </w:p>
        </w:tc>
      </w:tr>
      <w:tr>
        <w:tc>
          <w:tcPr>
            <w:tcW w:type="dxa" w:w="2381"/>
          </w:tcPr>
          <w:p>
            <w:r>
              <w:rPr>
                <w:sz w:val="18"/>
              </w:rPr>
              <w:t>参数 / 定值类（表格密集）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国标限值表、教材参数表</w:t>
            </w:r>
          </w:p>
        </w:tc>
        <w:tc>
          <w:tcPr>
            <w:tcW w:type="dxa" w:w="3288"/>
          </w:tcPr>
          <w:p>
            <w:r>
              <w:rPr>
                <w:sz w:val="18"/>
              </w:rPr>
              <w:t>表格抽取 + 正文定值融合</w:t>
            </w:r>
          </w:p>
        </w:tc>
      </w:tr>
    </w:tbl>
    <w:p/>
    <w:p>
      <w:r>
        <w:t>金标准：从其中 1 份文档选 2~3 章（5000~10000 字）人工全量标注，本工程内置 46 条三元组 + 7 条定值记录作为起步集。这一步不能省——它是唯一的质量标尺。标注口径见《金标准标注规范》。</w:t>
      </w:r>
    </w:p>
    <w:p>
      <w:pPr>
        <w:pStyle w:val="Heading1"/>
      </w:pPr>
      <w:r>
        <w:t>四、本体设计（POC 核心交付物）</w:t>
      </w:r>
    </w:p>
    <w:p>
      <w:pPr>
        <w:pStyle w:val="Heading2"/>
      </w:pPr>
      <w:r>
        <w:t>4.1 实体类型（12 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类型</w:t>
            </w:r>
          </w:p>
        </w:tc>
        <w:tc>
          <w:tcPr>
            <w:tcW w:type="dxa" w:w="1361"/>
          </w:tcPr>
          <w:p>
            <w:r>
              <w:rPr>
                <w:b/>
                <w:sz w:val="18"/>
              </w:rPr>
              <w:t>英文标识</w:t>
            </w:r>
          </w:p>
        </w:tc>
        <w:tc>
          <w:tcPr>
            <w:tcW w:type="dxa" w:w="3969"/>
          </w:tcPr>
          <w:p>
            <w:r>
              <w:rPr>
                <w:b/>
                <w:sz w:val="18"/>
              </w:rPr>
              <w:t>示例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可视化配色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电厂/机组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Plant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某核电厂1号机组、岭澳核电站1号机组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#7B8794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系统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System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反应堆冷却剂系统、辅助给水系统、余热排出系统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#2E5AAC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子系统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SubSystem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化学与容积控制系统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#4F7FD4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设备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Equipment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蒸汽发生器、主泵、稳压器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#2E8B57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部件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Component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传热管束、管板、主泵密封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#6FBF82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参数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Parameter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一回路压力、蒸汽发生器液位、堆芯出口温度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#E8892B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定值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Setpoint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压力高高定值、液位低低定值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#D64545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工况模式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PlantMode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功率运行、冷停堆、热停堆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#9AA5B1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故障/异常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FaultMode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传热管破裂、泵密封泄漏、应力腐蚀裂纹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#8E5BC7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事件/瞬态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Event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SGTR、LOCA、失去厂外电源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#B07CD6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规程/文档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Procedure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SGTR处置导则、报警响应规程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#C9A227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操作动作</w:t>
            </w:r>
          </w:p>
        </w:tc>
        <w:tc>
          <w:tcPr>
            <w:tcW w:type="dxa" w:w="1361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3969"/>
          </w:tcPr>
          <w:p>
            <w:r>
              <w:rPr>
                <w:sz w:val="18"/>
              </w:rPr>
              <w:t>隔离故障蒸汽发生器、投入辅助给水、投入稳压器喷淋阀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#26A69A</w:t>
            </w:r>
          </w:p>
        </w:tc>
      </w:tr>
    </w:tbl>
    <w:p/>
    <w:p>
      <w:pPr>
        <w:pStyle w:val="Heading2"/>
      </w:pPr>
      <w:r>
        <w:t>4.2 关系类型（16 种）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814"/>
          </w:tcPr>
          <w:p>
            <w:r>
              <w:rPr>
                <w:b/>
                <w:sz w:val="18"/>
              </w:rPr>
              <w:t>关系</w:t>
            </w:r>
          </w:p>
        </w:tc>
        <w:tc>
          <w:tcPr>
            <w:tcW w:type="dxa" w:w="1247"/>
          </w:tcPr>
          <w:p>
            <w:r>
              <w:rPr>
                <w:b/>
                <w:sz w:val="18"/>
              </w:rPr>
              <w:t>中文名</w:t>
            </w:r>
          </w:p>
        </w:tc>
        <w:tc>
          <w:tcPr>
            <w:tcW w:type="dxa" w:w="6009"/>
          </w:tcPr>
          <w:p>
            <w:r>
              <w:rPr>
                <w:b/>
                <w:sz w:val="18"/>
              </w:rPr>
              <w:t>定义摘要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PART_OF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组成/隶属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主语是宾语的组成部分、设备成员或子系统隶属对象。对象通常是 System/SubSystem/Equipment。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LOCATED_IN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空间位置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主语被物理容纳、安装于宾语所指的空间或构筑物内。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HAS_FUNCTION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功能职责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主语（设备/系统）的固有功能或职责是宾语所述的功能描述。宾语一般为动宾短语，不强行归入其它实体类型时归入 Action …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MONITORS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参数监测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参数主语用于监测、表征宾语（系统/设备）的运行状态。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HAS_SETPOINT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参数关联定值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参数主语关联到其整定值（Setpoint）。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TRIGGERS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触发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主语（通常是“参数越限状态”或 Setpoint）触发宾语（报警信号/动作/事件）。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OCCURS_IN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故障发生位置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故障/失效发生在宾语所指的设备或部件上。主语必须是 FaultMode。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CAUSED_BY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故障原因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主语（故障/事件）的原因或机理是宾语。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HAS_SYMPTOM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故障表现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主语（故障/事件）的可观测征兆或表征现象。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HAS_CONSEQUENCE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故障后果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主语（故障/事件）进一步发展造成的后果或影响。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MITIGATED_BY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故障处置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主语（故障/事件）通过宾语所述的操作动作、系统或规程得到缓解/处置。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PRECONDITION_OF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前置条件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主语所述的条件成立是执行宾语（动作/后续步骤）的先决条件。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STEP_OF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规程包含步骤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主语（操作动作/步骤）是宾语（规程/文档）的组成步骤。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APPLIES_TO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适用对象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主语（规程/文档/定值）适用于宾语所指的对象（系统/设备/工况）。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REDUNDANT_WITH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冗余关系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主语与宾语在功能上互为冗余/备用，任一台可代替另一台完成任务。</w:t>
            </w:r>
          </w:p>
        </w:tc>
      </w:tr>
      <w:tr>
        <w:tc>
          <w:tcPr>
            <w:tcW w:type="dxa" w:w="1814"/>
          </w:tcPr>
          <w:p>
            <w:r>
              <w:rPr>
                <w:sz w:val="18"/>
              </w:rPr>
              <w:t>DEFINED_IN</w:t>
            </w:r>
          </w:p>
        </w:tc>
        <w:tc>
          <w:tcPr>
            <w:tcW w:type="dxa" w:w="1247"/>
          </w:tcPr>
          <w:p>
            <w:r>
              <w:rPr>
                <w:sz w:val="18"/>
              </w:rPr>
              <w:t>引用出处</w:t>
            </w:r>
          </w:p>
        </w:tc>
        <w:tc>
          <w:tcPr>
            <w:tcW w:type="dxa" w:w="6009"/>
          </w:tcPr>
          <w:p>
            <w:r>
              <w:rPr>
                <w:sz w:val="18"/>
              </w:rPr>
              <w:t>主语（定值/术语/技术事实）的定义或规定出自宾语（规程/文档）。</w:t>
            </w:r>
          </w:p>
        </w:tc>
      </w:tr>
    </w:tbl>
    <w:p/>
    <w:p>
      <w:r>
        <w:t>每种关系的完整定义、正反例与易混淆点见《关系类型抽取定义手册》。</w:t>
      </w:r>
    </w:p>
    <w:p>
      <w:pPr>
        <w:pStyle w:val="Heading2"/>
      </w:pPr>
      <w:r>
        <w:t>4.3 定值表 schema</w:t>
      </w:r>
    </w:p>
    <w:p>
      <w:r>
        <w:rPr>
          <w:rFonts w:ascii="Consolas" w:hAnsi="Consolas" w:eastAsia="Consolas"/>
          <w:sz w:val="17"/>
        </w:rPr>
        <w:t>{</w:t>
        <w:br/>
        <w:t xml:space="preserve">  "param_id": "RCS-PT-001",        // 内部编号：系统代号-参数代号-三位序号</w:t>
        <w:br/>
        <w:t xml:space="preserve">  "param_name": "一回路压力",</w:t>
        <w:br/>
        <w:t xml:space="preserve">  "param_name_en": "RCS Pressure",</w:t>
        <w:br/>
        <w:t xml:space="preserve">  "system": "反应堆冷却剂系统",</w:t>
        <w:br/>
        <w:t xml:space="preserve">  "equipment": "稳压器",</w:t>
        <w:br/>
        <w:t xml:space="preserve">  "unit": "MPa",</w:t>
        <w:br/>
        <w:t xml:space="preserve">  "normal_range": {"min": 15.2, "max": 15.7},</w:t>
        <w:br/>
        <w:t xml:space="preserve">  "alarms": [</w:t>
        <w:br/>
        <w:t xml:space="preserve">    {"level": "低低", "value": 13.9, "action": "紧急停堆"},</w:t>
        <w:br/>
        <w:t xml:space="preserve">    {"level": "高",   "value": 16.2, "action": "报警"},</w:t>
        <w:br/>
        <w:t xml:space="preserve">    {"level": "高高", "value": 16.5, "action": "安全阀动作"}</w:t>
        <w:br/>
        <w:t xml:space="preserve">  ],</w:t>
        <w:br/>
        <w:t xml:space="preserve">  "applicable_mode": "功率运行",</w:t>
        <w:br/>
        <w:t xml:space="preserve">  "source": {"doc": "xxx.pdf", "page": 45, "section": "3.2.1", "evidence": "原文逐字片段"},</w:t>
        <w:br/>
        <w:t xml:space="preserve">  "version": "v1.0",</w:t>
        <w:br/>
        <w:t xml:space="preserve">  "confidence": 0.95</w:t>
        <w:br/>
        <w:t>}</w:t>
      </w:r>
    </w:p>
    <w:p>
      <w:pPr>
        <w:pStyle w:val="Heading1"/>
      </w:pPr>
      <w:r>
        <w:t>五、解析与切分</w:t>
      </w:r>
    </w:p>
    <w:p>
      <w:pPr>
        <w:pStyle w:val="ListBullet"/>
      </w:pPr>
      <w:r>
        <w:t>工具：MinerU（中文 PDF 表格还原最好）→ Markdown；Word 用 pandoc。</w:t>
      </w:r>
    </w:p>
    <w:p>
      <w:pPr>
        <w:pStyle w:val="ListBullet"/>
      </w:pPr>
      <w:r>
        <w:t>按标题层级切分，每个 chunk 带完整标题路径，如：[第三章 蒸汽发生器 &gt; 3.2 主要参数 &gt; 3.2.1 设计压力]。</w:t>
      </w:r>
    </w:p>
    <w:p>
      <w:pPr>
        <w:pStyle w:val="ListBullet"/>
      </w:pPr>
      <w:r>
        <w:t>表格永远独立成 chunk，不与正文混合，并附上表格前的说明文字作为上下文。</w:t>
      </w:r>
    </w:p>
    <w:p>
      <w:pPr>
        <w:pStyle w:val="ListBullet"/>
      </w:pPr>
      <w:r>
        <w:t>chunk 长度 800~1500 字，超出按段落二次切分。</w:t>
      </w:r>
    </w:p>
    <w:p>
      <w:pPr>
        <w:pStyle w:val="ListBullet"/>
      </w:pPr>
      <w:r>
        <w:t>元数据：doc_id / page / section_path / chunk_type / security_level。</w:t>
      </w:r>
    </w:p>
    <w:p>
      <w:pPr>
        <w:pStyle w:val="Heading1"/>
      </w:pPr>
      <w:r>
        <w:t>六、LLM 抽取</w:t>
      </w:r>
    </w:p>
    <w:p>
      <w:pPr>
        <w:pStyle w:val="Heading2"/>
      </w:pPr>
      <w:r>
        <w:t>6.1 工程要点</w:t>
      </w:r>
    </w:p>
    <w:p>
      <w:pPr>
        <w:pStyle w:val="ListBullet"/>
      </w:pPr>
      <w:r>
        <w:t>用支持 JSON mode / structured output 的 API（DeepSeek、GPT-4o 都支持），避免解析失败。</w:t>
      </w:r>
    </w:p>
    <w:p>
      <w:pPr>
        <w:pStyle w:val="ListBullet"/>
      </w:pPr>
      <w:r>
        <w:t>temperature = 0（或极低），保证同一段文本重复运行结果可复现。</w:t>
      </w:r>
    </w:p>
    <w:p>
      <w:pPr>
        <w:pStyle w:val="ListBullet"/>
      </w:pPr>
      <w:r>
        <w:t>一次只喂一个 chunk，不合并，保证 evidence 可溯源到具体章节。</w:t>
      </w:r>
    </w:p>
    <w:p>
      <w:pPr>
        <w:pStyle w:val="ListBullet"/>
      </w:pPr>
      <w:r>
        <w:t>每条三元组必须给出逐字摘录的 evidence —— 这是后面 NLI 校验能起作用的前提。</w:t>
      </w:r>
    </w:p>
    <w:p>
      <w:pPr>
        <w:pStyle w:val="ListBullet"/>
      </w:pPr>
      <w:r>
        <w:t>16 种关系一次给全效果尚可；召回率上不去时改两遍式：第一遍只抽实体，第二遍针对已知实体对抽关系。</w:t>
      </w:r>
    </w:p>
    <w:p>
      <w:pPr>
        <w:pStyle w:val="Heading2"/>
      </w:pPr>
      <w:r>
        <w:t>6.2 提示词的三个关键约束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约束</w:t>
            </w:r>
          </w:p>
        </w:tc>
        <w:tc>
          <w:tcPr>
            <w:tcW w:type="dxa" w:w="3628"/>
          </w:tcPr>
          <w:p>
            <w:r>
              <w:rPr>
                <w:b/>
                <w:sz w:val="18"/>
              </w:rPr>
              <w:t>写法</w:t>
            </w:r>
          </w:p>
        </w:tc>
        <w:tc>
          <w:tcPr>
            <w:tcW w:type="dxa" w:w="3742"/>
          </w:tcPr>
          <w:p>
            <w:r>
              <w:rPr>
                <w:b/>
                <w:sz w:val="18"/>
              </w:rPr>
              <w:t>解决什么问题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只抽明确陈述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“只抽取文本明确陈述的事实，不做领域推断”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抑制模型用核电常识补全原文没写的关系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必须给证据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“每条三元组必须给出原文逐字片段 evidence”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使 NLI 校验与人工复核可行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不确定就标 low</w:t>
            </w:r>
          </w:p>
        </w:tc>
        <w:tc>
          <w:tcPr>
            <w:tcW w:type="dxa" w:w="3628"/>
          </w:tcPr>
          <w:p>
            <w:r>
              <w:rPr>
                <w:sz w:val="18"/>
              </w:rPr>
              <w:t>“无法确定的关系标注 confidence: low”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把风险显式化，便于后处理分级剔除</w:t>
            </w:r>
          </w:p>
        </w:tc>
      </w:tr>
    </w:tbl>
    <w:p/>
    <w:p>
      <w:pPr>
        <w:pStyle w:val="Heading1"/>
      </w:pPr>
      <w:r>
        <w:t>七、后处理（决定数据质量的一层）</w:t>
      </w:r>
    </w:p>
    <w:p>
      <w:r>
        <w:rPr>
          <w:rFonts w:ascii="Consolas" w:hAnsi="Consolas" w:eastAsia="Consolas"/>
          <w:sz w:val="17"/>
        </w:rPr>
        <w:t>原始抽取结果</w:t>
        <w:br/>
        <w:t xml:space="preserve">  ├─ ① Schema 校验：JSON 格式、类型枚举合法性 → 不合法的丢弃/修复</w:t>
        <w:br/>
        <w:t xml:space="preserve">  ├─ ② 实体归一化：术语表映射 + embedding 相似度候选 → LLM 判定是否合并</w:t>
        <w:br/>
        <w:t xml:space="preserve">  ├─ ③ 数值校验：单位合法性、量级合理性、低低&lt;低&lt;正常&lt;高&lt;高高</w:t>
        <w:br/>
        <w:t xml:space="preserve">  ├─ ④ 去重：精确三元组去重；(主语,谓语) 相同但宾语不同的标记复核</w:t>
        <w:br/>
        <w:t xml:space="preserve">  └─ ⑤ NLI 溯源校验：LLM 判断 "evidence 是否支持该三元组" → 不支持的剔除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3515"/>
          </w:tcPr>
          <w:p>
            <w:r>
              <w:rPr>
                <w:b/>
                <w:sz w:val="18"/>
              </w:rPr>
              <w:t>本工程实现</w:t>
            </w:r>
          </w:p>
        </w:tc>
        <w:tc>
          <w:tcPr>
            <w:tcW w:type="dxa" w:w="4082"/>
          </w:tcPr>
          <w:p>
            <w:r>
              <w:rPr>
                <w:b/>
                <w:sz w:val="18"/>
              </w:rPr>
              <w:t>典型收益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Schema 校验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kgpoc/postprocess.py :: schema_check_triples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过滤字段缺失、谓词越界、类型非法的垃圾输出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实体归一化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kgpoc/normalize.py（术语表驱动）+ 预留 embedding 接口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SG / 蒸发器 / 蒸汽发生器 合并为一个节点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domain/range 校验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config/relation_constraints.yaml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抓住“蒸汽发生器 PART_OF 安全壳”这类方向错位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去重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按 (主语key, 关系, 宾语key) 合并，保留最完整 evidence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同一事实被多个章节重复抽到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数值校验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config/ontology.yaml :: validation_rules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拦下 165 MPa 这种量级错误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NLI 溯源校验</w:t>
            </w:r>
          </w:p>
        </w:tc>
        <w:tc>
          <w:tcPr>
            <w:tcW w:type="dxa" w:w="3515"/>
          </w:tcPr>
          <w:p>
            <w:r>
              <w:rPr>
                <w:sz w:val="18"/>
              </w:rPr>
              <w:t>prompts/nli_verification.md</w:t>
            </w:r>
          </w:p>
        </w:tc>
        <w:tc>
          <w:tcPr>
            <w:tcW w:type="dxa" w:w="4082"/>
          </w:tcPr>
          <w:p>
            <w:r>
              <w:rPr>
                <w:sz w:val="18"/>
              </w:rPr>
              <w:t>专杀幻觉：证据不支持即剔除</w:t>
            </w:r>
          </w:p>
        </w:tc>
      </w:tr>
    </w:tbl>
    <w:p/>
    <w:p>
      <w:pPr>
        <w:pStyle w:val="Heading1"/>
      </w:pPr>
      <w:r>
        <w:t>八、质量闭环与迭代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474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3175"/>
          </w:tcPr>
          <w:p>
            <w:r>
              <w:rPr>
                <w:b/>
                <w:sz w:val="18"/>
              </w:rPr>
              <w:t>计算方式</w:t>
            </w:r>
          </w:p>
        </w:tc>
        <w:tc>
          <w:tcPr>
            <w:tcW w:type="dxa" w:w="4422"/>
          </w:tcPr>
          <w:p>
            <w:r>
              <w:rPr>
                <w:b/>
                <w:sz w:val="18"/>
              </w:rPr>
              <w:t>怎么改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Precision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抽取正确的三元组 / 总抽取数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收紧 prompt 的“不得推断”条款；加强 NLI 口径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Recall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抽取正确的三元组 / 金标准总数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改两遍式抽取；给该关系补充正反例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分桶分析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按关系类型分别算 P/R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找出弱项关系，针对性改定义而非盲目换模型</w:t>
            </w:r>
          </w:p>
        </w:tc>
      </w:tr>
      <w:tr>
        <w:tc>
          <w:tcPr>
            <w:tcW w:type="dxa" w:w="1474"/>
          </w:tcPr>
          <w:p>
            <w:r>
              <w:rPr>
                <w:sz w:val="18"/>
              </w:rPr>
              <w:t>定值字段准确率</w:t>
            </w:r>
          </w:p>
        </w:tc>
        <w:tc>
          <w:tcPr>
            <w:tcW w:type="dxa" w:w="3175"/>
          </w:tcPr>
          <w:p>
            <w:r>
              <w:rPr>
                <w:sz w:val="18"/>
              </w:rPr>
              <w:t>正确字段数 / 总字段数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逐字段比对，重点看单位换算与缺失</w:t>
            </w:r>
          </w:p>
        </w:tc>
      </w:tr>
    </w:tbl>
    <w:p/>
    <w:p>
      <w:r>
        <w:t>迭代方式：跑金标准 → 分桶看弱项 → 修改关系定义 / prompt → 重跑 → 直到达标。同时每批次抽 5% 人工 review，重点看 confidence=low 的样本。</w:t>
      </w:r>
    </w:p>
    <w:p>
      <w:pPr>
        <w:pStyle w:val="Heading1"/>
      </w:pPr>
      <w:r>
        <w:t>九、图谱构建与下游验证</w:t>
      </w:r>
    </w:p>
    <w:p>
      <w:pPr>
        <w:pStyle w:val="ListBullet"/>
      </w:pPr>
      <w:r>
        <w:t>三元组 JSONL 转成 Cypher 导入 Neo4j Community（免费、自带可视化）。</w:t>
      </w:r>
    </w:p>
    <w:p>
      <w:pPr>
        <w:pStyle w:val="ListBullet"/>
      </w:pPr>
      <w:r>
        <w:t>定值作为 JSONL 存档，同时把参数 / 定值实体挂到图谱节点上，实现“图谱 + 定值表”联查。</w:t>
      </w:r>
    </w:p>
    <w:p>
      <w:pPr>
        <w:pStyle w:val="ListBullet"/>
      </w:pPr>
      <w:r>
        <w:t>10 个验证查询作为期末考，其中跨文档冲突检测最能体现图谱相对原文检索的增量价值，务必演示。</w:t>
      </w:r>
    </w:p>
    <w:p>
      <w:r>
        <w:rPr>
          <w:rFonts w:ascii="Consolas" w:hAnsi="Consolas" w:eastAsia="Consolas"/>
          <w:sz w:val="17"/>
        </w:rPr>
        <w:t>CREATE (e:Equipment {name:"蒸汽发生器", aliases:["SG","Steam Generator"]})</w:t>
        <w:br/>
        <w:t>CREATE (s:System {name:"反应堆冷却剂系统", aliases:["RCS"]})</w:t>
        <w:br/>
        <w:t>CREATE (e)-[:PART_OF {source:"教材p.45", confidence:"high"}]-&gt;(s)</w:t>
      </w:r>
    </w:p>
    <w:p>
      <w:pPr>
        <w:pStyle w:val="Heading1"/>
      </w:pPr>
      <w:r>
        <w:t>十、技术栈清单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361"/>
          </w:tcPr>
          <w:p>
            <w:r>
              <w:rPr>
                <w:b/>
                <w:sz w:val="18"/>
              </w:rPr>
              <w:t>环节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工具</w:t>
            </w:r>
          </w:p>
        </w:tc>
        <w:tc>
          <w:tcPr>
            <w:tcW w:type="dxa" w:w="4649"/>
          </w:tcPr>
          <w:p>
            <w:r>
              <w:rPr>
                <w:b/>
                <w:sz w:val="18"/>
              </w:rPr>
              <w:t>备注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解析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MinerU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免费开源，中文 PDF 表格还原最好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LLM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DeepSeek-V3 / GPT-4o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JSON mode，temperature=0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Embedding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BGE-M3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实体归一化用（规模化阶段接入）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图数据库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Neo4j Community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自带可视化，docker compose 已备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编排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纯 Python 脚本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POC 不需要 LangChain 等框架，越简单越好排查</w:t>
            </w:r>
          </w:p>
        </w:tc>
      </w:tr>
      <w:tr>
        <w:tc>
          <w:tcPr>
            <w:tcW w:type="dxa" w:w="1361"/>
          </w:tcPr>
          <w:p>
            <w:r>
              <w:rPr>
                <w:sz w:val="18"/>
              </w:rPr>
              <w:t>版本管理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git 管理 prompt + schema</w:t>
            </w:r>
          </w:p>
        </w:tc>
        <w:tc>
          <w:tcPr>
            <w:tcW w:type="dxa" w:w="4649"/>
          </w:tcPr>
          <w:p>
            <w:r>
              <w:rPr>
                <w:sz w:val="18"/>
              </w:rPr>
              <w:t>prompt 也是代码</w:t>
            </w:r>
          </w:p>
        </w:tc>
      </w:tr>
    </w:tbl>
    <w:p/>
    <w:p>
      <w:pPr>
        <w:pStyle w:val="Heading1"/>
      </w:pPr>
      <w:r>
        <w:t>十一、四周执行计划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907"/>
          </w:tcPr>
          <w:p>
            <w:r>
              <w:rPr>
                <w:b/>
                <w:sz w:val="18"/>
              </w:rPr>
              <w:t>周次</w:t>
            </w:r>
          </w:p>
        </w:tc>
        <w:tc>
          <w:tcPr>
            <w:tcW w:type="dxa" w:w="3742"/>
          </w:tcPr>
          <w:p>
            <w:r>
              <w:rPr>
                <w:b/>
                <w:sz w:val="18"/>
              </w:rPr>
              <w:t>任务</w:t>
            </w:r>
          </w:p>
        </w:tc>
        <w:tc>
          <w:tcPr>
            <w:tcW w:type="dxa" w:w="4422"/>
          </w:tcPr>
          <w:p>
            <w:r>
              <w:rPr>
                <w:b/>
                <w:sz w:val="18"/>
              </w:rPr>
              <w:t>产出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W1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文档收集、解析跑通、人工标注金标准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金标准集（46 条三元组 + 7 条定值）、术语表 v1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W2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本体定稿、抽取 prompt 开发、后处理脚本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可运行的完整 pipeline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W3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全量抽取、质量校验、按分桶结果迭代 prompt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达标的数据集（预计 2000~5000 三元组）</w:t>
            </w:r>
          </w:p>
        </w:tc>
      </w:tr>
      <w:tr>
        <w:tc>
          <w:tcPr>
            <w:tcW w:type="dxa" w:w="907"/>
          </w:tcPr>
          <w:p>
            <w:r>
              <w:rPr>
                <w:sz w:val="18"/>
              </w:rPr>
              <w:t>W4</w:t>
            </w:r>
          </w:p>
        </w:tc>
        <w:tc>
          <w:tcPr>
            <w:tcW w:type="dxa" w:w="3742"/>
          </w:tcPr>
          <w:p>
            <w:r>
              <w:rPr>
                <w:sz w:val="18"/>
              </w:rPr>
              <w:t>Neo4j 入库、10 个验证查询、评估报告、demo 展示</w:t>
            </w:r>
          </w:p>
        </w:tc>
        <w:tc>
          <w:tcPr>
            <w:tcW w:type="dxa" w:w="4422"/>
          </w:tcPr>
          <w:p>
            <w:r>
              <w:rPr>
                <w:sz w:val="18"/>
              </w:rPr>
              <w:t>POC 结项材料</w:t>
            </w:r>
          </w:p>
        </w:tc>
      </w:tr>
    </w:tbl>
    <w:p/>
    <w:p>
      <w:pPr>
        <w:pStyle w:val="Heading1"/>
      </w:pPr>
      <w:r>
        <w:t>十二、往真实场景平移要留的接口</w:t>
      </w:r>
    </w:p>
    <w:p>
      <w:pPr>
        <w:pStyle w:val="ListBullet"/>
      </w:pPr>
      <w:r>
        <w:t>LLM 可替换：调用统一封装为 OpenAI 兼容接口，内网换成 vLLM 部署的本地模型只改 endpoint。</w:t>
      </w:r>
    </w:p>
    <w:p>
      <w:pPr>
        <w:pStyle w:val="ListBullet"/>
      </w:pPr>
      <w:r>
        <w:t>本体可扩展：真实文档会逼你增加实体类型（逻辑图、仪控信号、电缆），schema 用配置文件管理而非写死在 prompt 里。</w:t>
      </w:r>
    </w:p>
    <w:p>
      <w:pPr>
        <w:pStyle w:val="ListBullet"/>
      </w:pPr>
      <w:r>
        <w:t>保密分级打标：元数据里预留 security_level 字段，从第一天就养成习惯。</w:t>
      </w:r>
    </w:p>
    <w:p>
      <w:pPr>
        <w:pStyle w:val="ListBullet"/>
      </w:pPr>
      <w:r>
        <w:t>规模化成本预估：POC 跑通后记录“每份文档 → 抽取 token 消耗”，方便估算几百份文档的预算（本工程自动写入 outputs/token_usage.jsonl）。</w:t>
      </w:r>
    </w:p>
    <w:p>
      <w:pPr>
        <w:pStyle w:val="ListBullet"/>
      </w:pPr>
      <w:r>
        <w:t>检索方案：图谱适合关系型问题；纯原文问答仍应保留 RAG 路线，两者互补而不是替代。</w:t>
      </w:r>
    </w:p>
    <w:p>
      <w:pPr>
        <w:pStyle w:val="Heading1"/>
      </w:pPr>
      <w:r>
        <w:t>十三、主要风险与对策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1701"/>
          </w:tcPr>
          <w:p>
            <w:r>
              <w:rPr>
                <w:b/>
                <w:sz w:val="18"/>
              </w:rPr>
              <w:t>风险</w:t>
            </w:r>
          </w:p>
        </w:tc>
        <w:tc>
          <w:tcPr>
            <w:tcW w:type="dxa" w:w="2494"/>
          </w:tcPr>
          <w:p>
            <w:r>
              <w:rPr>
                <w:b/>
                <w:sz w:val="18"/>
              </w:rPr>
              <w:t>影响</w:t>
            </w:r>
          </w:p>
        </w:tc>
        <w:tc>
          <w:tcPr>
            <w:tcW w:type="dxa" w:w="4309"/>
          </w:tcPr>
          <w:p>
            <w:r>
              <w:rPr>
                <w:b/>
                <w:sz w:val="18"/>
              </w:rPr>
              <w:t>对策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文档导出合规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项目无法启动 / 违规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用公开资料做 POC；真实数据在内网跑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关系方向抽反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图谱问答全错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domain/range 约束校验 + 关系定义里写清正反例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模型用常识补全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准确率虚高但不可信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强制 evidence + NLI 校验 + 人工抽检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术语口径不一致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同一实体分裂成多个节点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术语表 + 实体归一化 + 定期人工维护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表格跨页/合并单元格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定值抽取缺行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MinerU 表格还原 + 每行必须有 evidence 溯源</w:t>
            </w:r>
          </w:p>
        </w:tc>
      </w:tr>
      <w:tr>
        <w:tc>
          <w:tcPr>
            <w:tcW w:type="dxa" w:w="1701"/>
          </w:tcPr>
          <w:p>
            <w:r>
              <w:rPr>
                <w:sz w:val="18"/>
              </w:rPr>
              <w:t>指标虚高（金标准泄露）</w:t>
            </w:r>
          </w:p>
        </w:tc>
        <w:tc>
          <w:tcPr>
            <w:tcW w:type="dxa" w:w="2494"/>
          </w:tcPr>
          <w:p>
            <w:r>
              <w:rPr>
                <w:sz w:val="18"/>
              </w:rPr>
              <w:t>上线后质量崩塌</w:t>
            </w:r>
          </w:p>
        </w:tc>
        <w:tc>
          <w:tcPr>
            <w:tcW w:type="dxa" w:w="4309"/>
          </w:tcPr>
          <w:p>
            <w:r>
              <w:rPr>
                <w:sz w:val="18"/>
              </w:rPr>
              <w:t>金标准独立于 prompt 迭代；另留一份未参与调优的测试集</w:t>
            </w:r>
          </w:p>
        </w:tc>
      </w:tr>
    </w:tbl>
    <w:p/>
    <w:p>
      <w:pPr>
        <w:pStyle w:val="Heading1"/>
      </w:pPr>
      <w:r>
        <w:t>附录：本工程的交付物清单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3628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876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nuclear_kg_poc/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端到端可运行流水线（离线即可 demo）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docs/核电知识图谱POC实施方案.docx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本文档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docs/关系类型抽取定义手册.docx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16 种关系的完整抽取定义与正反例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docs/金标准标注规范.docx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标注口径说明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docs/金标准标注模板.xlsx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标注模板 + 示例数据 + 术语表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docs/10个验证查询与预期结果.docx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期末考题与答案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queries/verification_queries.cypher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可直接执行的 Cypher</w:t>
            </w:r>
          </w:p>
        </w:tc>
      </w:tr>
      <w:tr>
        <w:tc>
          <w:tcPr>
            <w:tcW w:type="dxa" w:w="3628"/>
          </w:tcPr>
          <w:p>
            <w:r>
              <w:rPr>
                <w:sz w:val="18"/>
              </w:rPr>
              <w:t>outputs/report.md</w:t>
            </w:r>
          </w:p>
        </w:tc>
        <w:tc>
          <w:tcPr>
            <w:tcW w:type="dxa" w:w="4876"/>
          </w:tcPr>
          <w:p>
            <w:r>
              <w:rPr>
                <w:sz w:val="18"/>
              </w:rPr>
              <w:t>最近一次运行的质量评估报告</w:t>
            </w:r>
          </w:p>
        </w:tc>
      </w:tr>
    </w:tbl>
    <w:p/>
    <w:sectPr w:rsidR="00FC693F" w:rsidRPr="0006063C" w:rsidSect="00034616">
      <w:pgSz w:w="12240" w:h="15840"/>
      <w:pgMar w:top="1440" w:right="1361" w:bottom="1440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B7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