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6E6E" w:val="clear"/>
            <w:tcMar>
              <w:top w:type="dxa" w:w="440"/>
              <w:left w:type="dxa" w:w="480"/>
              <w:bottom w:type="dxa" w:w="440"/>
              <w:right w:type="dxa" w:w="480"/>
            </w:tcMar>
          </w:tcPr>
          <w:p>
            <w:pPr>
              <w:spacing w:before="0" w:after="120"/>
            </w:pPr>
            <w:r>
              <w:rPr>
                <w:rFonts w:ascii="Arial" w:cs="Arial" w:eastAsia="Arial" w:hAnsi="Arial"/>
                <w:b/>
                <w:bCs/>
                <w:color w:val="88CCCC"/>
                <w:sz w:val="19"/>
                <w:szCs w:val="19"/>
              </w:rPr>
              <w:t xml:space="preserve">ANALYTICS CHAPTER — ADDITIONAL MODULE</w:t>
            </w:r>
          </w:p>
          <w:p>
            <w:pPr>
              <w:spacing w:before="0" w:after="60"/>
            </w:pPr>
            <w:r>
              <w:rPr>
                <w:rFonts w:ascii="Arial" w:cs="Arial" w:eastAsia="Arial" w:hAnsi="Arial"/>
                <w:b/>
                <w:bCs/>
                <w:color w:val="FFFFFF"/>
                <w:sz w:val="52"/>
                <w:szCs w:val="52"/>
              </w:rPr>
              <w:t xml:space="preserve">Data Science Pathway</w:t>
            </w:r>
          </w:p>
          <w:p>
            <w:pPr>
              <w:spacing w:before="0" w:after="240"/>
            </w:pPr>
            <w:r>
              <w:rPr>
                <w:rFonts w:ascii="Arial" w:cs="Arial" w:eastAsia="Arial" w:hAnsi="Arial"/>
                <w:color w:val="AADDDD"/>
                <w:sz w:val="34"/>
                <w:szCs w:val="34"/>
              </w:rPr>
              <w:t xml:space="preserve">Section 7 — Questions &amp; Behavioural Anchors</w:t>
            </w:r>
          </w:p>
          <w:p>
            <w:pPr>
              <w:spacing w:before="0" w:after="0"/>
            </w:pPr>
            <w:r>
              <w:rPr>
                <w:rFonts w:ascii="Arial" w:cs="Arial" w:eastAsia="Arial" w:hAnsi="Arial"/>
                <w:i/>
                <w:iCs/>
                <w:color w:val="88CCCC"/>
                <w:sz w:val="18"/>
                <w:szCs w:val="18"/>
              </w:rPr>
              <w:t xml:space="preserve">Add to the end of the existing self-assessment. Everyone completes it — junior or senior.</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2F2" w:val="clear"/>
            <w:tcMar>
              <w:top w:type="dxa" w:w="160"/>
              <w:left w:type="dxa" w:w="240"/>
              <w:bottom w:type="dxa" w:w="160"/>
              <w:right w:type="dxa" w:w="240"/>
            </w:tcMar>
          </w:tcPr>
          <w:p>
            <w:pPr>
              <w:spacing w:before="0" w:after="80"/>
            </w:pPr>
            <w:r>
              <w:rPr>
                <w:rFonts w:ascii="Arial" w:cs="Arial" w:eastAsia="Arial" w:hAnsi="Arial"/>
                <w:b/>
                <w:bCs/>
                <w:color w:val="0D6E6E"/>
                <w:sz w:val="20"/>
                <w:szCs w:val="20"/>
              </w:rPr>
              <w:t xml:space="preserve">Why everyone completes this section</w:t>
            </w:r>
          </w:p>
          <w:p>
            <w:pPr>
              <w:spacing w:before="0" w:after="60"/>
            </w:pPr>
            <w:r>
              <w:rPr>
                <w:rFonts w:ascii="Arial" w:cs="Arial" w:eastAsia="Arial" w:hAnsi="Arial"/>
                <w:color w:val="333333"/>
                <w:sz w:val="18"/>
                <w:szCs w:val="18"/>
              </w:rPr>
              <w:t xml:space="preserve">Some analysts in this team hold Masters degrees in Data Analytics and may already be operating at junior data science level. Others are earlier in their journey. This section measures exactly where everyone sits on the analyst-to-data-scientist pathway — regardless of title.</w:t>
            </w:r>
          </w:p>
          <w:p>
            <w:pPr>
              <w:spacing w:before="0" w:after="0"/>
            </w:pPr>
            <w:r>
              <w:rPr>
                <w:rFonts w:ascii="Arial" w:cs="Arial" w:eastAsia="Arial" w:hAnsi="Arial"/>
                <w:i/>
                <w:iCs/>
                <w:color w:val="333333"/>
                <w:sz w:val="18"/>
                <w:szCs w:val="18"/>
              </w:rPr>
              <w:t xml:space="preserve">If you haven't encountered these concepts yet, rating yourself 1 or 2 is completely valid — that is precisely the information your Chapter Lead needs to build the right training path for you. There are no wrong answers here.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880"/>
      </w:tblGrid>
      <w:tr>
        <w:trPr>
          <w:tblHeader/>
        </w:trPr>
        <w:tc>
          <w:tcPr>
            <w:tcW w:type="dxa" w:w="4480"/>
            <w:tcBorders>
              <w:top w:val="single" w:color="CCCCCC" w:sz="1"/>
              <w:left w:val="single" w:color="CCCCCC" w:sz="1"/>
              <w:bottom w:val="single" w:color="CCCCCC" w:sz="1"/>
              <w:right w:val="single" w:color="CCCCCC" w:sz="1"/>
            </w:tcBorders>
            <w:shd w:fill="0D6E6E" w:val="clear"/>
            <w:tcMar>
              <w:top w:type="dxa" w:w="80"/>
              <w:left w:type="dxa" w:w="160"/>
              <w:bottom w:type="dxa" w:w="80"/>
              <w:right w:type="dxa" w:w="160"/>
            </w:tcMar>
          </w:tcPr>
          <w:p>
            <w:pPr>
              <w:spacing w:before="0" w:after="0"/>
            </w:pPr>
            <w:r>
              <w:rPr>
                <w:rFonts w:ascii="Arial" w:cs="Arial" w:eastAsia="Arial" w:hAnsi="Arial"/>
                <w:b/>
                <w:bCs/>
                <w:color w:val="FFFFFF"/>
                <w:sz w:val="18"/>
                <w:szCs w:val="18"/>
              </w:rPr>
              <w:t xml:space="preserve">This section covers</w:t>
            </w:r>
          </w:p>
        </w:tc>
        <w:tc>
          <w:tcPr>
            <w:tcW w:type="dxa" w:w="4880"/>
            <w:tcBorders>
              <w:top w:val="single" w:color="CCCCCC" w:sz="1"/>
              <w:left w:val="single" w:color="CCCCCC" w:sz="1"/>
              <w:bottom w:val="single" w:color="CCCCCC" w:sz="1"/>
              <w:right w:val="single" w:color="CCCCCC" w:sz="1"/>
            </w:tcBorders>
            <w:shd w:fill="0D6E6E" w:val="clear"/>
            <w:tcMar>
              <w:top w:type="dxa" w:w="80"/>
              <w:left w:type="dxa" w:w="160"/>
              <w:bottom w:type="dxa" w:w="80"/>
              <w:right w:type="dxa" w:w="160"/>
            </w:tcMar>
          </w:tcPr>
          <w:p>
            <w:pPr>
              <w:spacing w:before="0" w:after="0"/>
            </w:pPr>
            <w:r>
              <w:rPr>
                <w:rFonts w:ascii="Arial" w:cs="Arial" w:eastAsia="Arial" w:hAnsi="Arial"/>
                <w:b/>
                <w:bCs/>
                <w:color w:val="FFFFFF"/>
                <w:sz w:val="18"/>
                <w:szCs w:val="18"/>
              </w:rPr>
              <w:t xml:space="preserve">Why it matters for the DS transition</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b/>
                <w:bCs/>
                <w:color w:val="0D6E6E"/>
                <w:sz w:val="17"/>
                <w:szCs w:val="17"/>
              </w:rPr>
              <w:t xml:space="preserve">Mathematical foundations (linear algebra, calculus, probability, loss functions)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444444"/>
                <w:sz w:val="17"/>
                <w:szCs w:val="17"/>
              </w:rPr>
              <w:t xml:space="preserve">Analysts can run models without knowing why they work. Data scientists can't. This is the most common gap.</w:t>
            </w:r>
          </w:p>
        </w:tc>
      </w:tr>
      <w:tr>
        <w:tc>
          <w:tcPr>
            <w:tcW w:type="dxa" w:w="4480"/>
            <w:tcBorders>
              <w:top w:val="single" w:color="CCCCCC" w:sz="1"/>
              <w:left w:val="single" w:color="CCCCCC" w:sz="1"/>
              <w:bottom w:val="single" w:color="CCCCCC" w:sz="1"/>
              <w:right w:val="single" w:color="CCCCCC" w:sz="1"/>
            </w:tcBorders>
            <w:shd w:fill="E0F2F2" w:val="clear"/>
            <w:tcMar>
              <w:top w:type="dxa" w:w="80"/>
              <w:left w:type="dxa" w:w="160"/>
              <w:bottom w:type="dxa" w:w="80"/>
              <w:right w:type="dxa" w:w="160"/>
            </w:tcMar>
          </w:tcPr>
          <w:p>
            <w:pPr>
              <w:spacing w:before="0" w:after="0"/>
            </w:pPr>
            <w:r>
              <w:rPr>
                <w:rFonts w:ascii="Arial" w:cs="Arial" w:eastAsia="Arial" w:hAnsi="Arial"/>
                <w:b/>
                <w:bCs/>
                <w:color w:val="0D6E6E"/>
                <w:sz w:val="17"/>
                <w:szCs w:val="17"/>
              </w:rPr>
              <w:t xml:space="preserve">Model selection reasoning (problem framing, algorithm choice, baselines, interpretability)</w:t>
            </w:r>
          </w:p>
        </w:tc>
        <w:tc>
          <w:tcPr>
            <w:tcW w:type="dxa" w:w="4880"/>
            <w:tcBorders>
              <w:top w:val="single" w:color="CCCCCC" w:sz="1"/>
              <w:left w:val="single" w:color="CCCCCC" w:sz="1"/>
              <w:bottom w:val="single" w:color="CCCCCC" w:sz="1"/>
              <w:right w:val="single" w:color="CCCCCC" w:sz="1"/>
            </w:tcBorders>
            <w:shd w:fill="E0F2F2" w:val="clear"/>
            <w:tcMar>
              <w:top w:type="dxa" w:w="80"/>
              <w:left w:type="dxa" w:w="160"/>
              <w:bottom w:type="dxa" w:w="80"/>
              <w:right w:type="dxa" w:w="160"/>
            </w:tcMar>
          </w:tcPr>
          <w:p>
            <w:pPr>
              <w:spacing w:before="0" w:after="0"/>
            </w:pPr>
            <w:r>
              <w:rPr>
                <w:rFonts w:ascii="Arial" w:cs="Arial" w:eastAsia="Arial" w:hAnsi="Arial"/>
                <w:color w:val="444444"/>
                <w:sz w:val="17"/>
                <w:szCs w:val="17"/>
              </w:rPr>
              <w:t xml:space="preserve">Picking the right approach for the right reason — not just defaulting to XGBoost because it usually works.</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b/>
                <w:bCs/>
                <w:color w:val="0D6E6E"/>
                <w:sz w:val="17"/>
                <w:szCs w:val="17"/>
              </w:rPr>
              <w:t xml:space="preserve">Feature engineering depth (encoding, skew, target leakage, selection)</w:t>
            </w:r>
          </w:p>
        </w:tc>
        <w:tc>
          <w:tcPr>
            <w:tcW w:type="dxa" w:w="4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444444"/>
                <w:sz w:val="17"/>
                <w:szCs w:val="17"/>
              </w:rPr>
              <w:t xml:space="preserve">Where most analyst-built models fail in production. The maths is easy; the engineering discipline is hard.</w:t>
            </w:r>
          </w:p>
        </w:tc>
      </w:tr>
      <w:tr>
        <w:tc>
          <w:tcPr>
            <w:tcW w:type="dxa" w:w="4480"/>
            <w:tcBorders>
              <w:top w:val="single" w:color="CCCCCC" w:sz="1"/>
              <w:left w:val="single" w:color="CCCCCC" w:sz="1"/>
              <w:bottom w:val="single" w:color="CCCCCC" w:sz="1"/>
              <w:right w:val="single" w:color="CCCCCC" w:sz="1"/>
            </w:tcBorders>
            <w:shd w:fill="E0F2F2" w:val="clear"/>
            <w:tcMar>
              <w:top w:type="dxa" w:w="80"/>
              <w:left w:type="dxa" w:w="160"/>
              <w:bottom w:type="dxa" w:w="80"/>
              <w:right w:type="dxa" w:w="160"/>
            </w:tcMar>
          </w:tcPr>
          <w:p>
            <w:pPr>
              <w:spacing w:before="0" w:after="0"/>
            </w:pPr>
            <w:r>
              <w:rPr>
                <w:rFonts w:ascii="Arial" w:cs="Arial" w:eastAsia="Arial" w:hAnsi="Arial"/>
                <w:b/>
                <w:bCs/>
                <w:color w:val="0D6E6E"/>
                <w:sz w:val="17"/>
                <w:szCs w:val="17"/>
              </w:rPr>
              <w:t xml:space="preserve">Experiment design and causal inference</w:t>
            </w:r>
          </w:p>
        </w:tc>
        <w:tc>
          <w:tcPr>
            <w:tcW w:type="dxa" w:w="4880"/>
            <w:tcBorders>
              <w:top w:val="single" w:color="CCCCCC" w:sz="1"/>
              <w:left w:val="single" w:color="CCCCCC" w:sz="1"/>
              <w:bottom w:val="single" w:color="CCCCCC" w:sz="1"/>
              <w:right w:val="single" w:color="CCCCCC" w:sz="1"/>
            </w:tcBorders>
            <w:shd w:fill="E0F2F2" w:val="clear"/>
            <w:tcMar>
              <w:top w:type="dxa" w:w="80"/>
              <w:left w:type="dxa" w:w="160"/>
              <w:bottom w:type="dxa" w:w="80"/>
              <w:right w:type="dxa" w:w="160"/>
            </w:tcMar>
          </w:tcPr>
          <w:p>
            <w:pPr>
              <w:spacing w:before="0" w:after="0"/>
            </w:pPr>
            <w:r>
              <w:rPr>
                <w:rFonts w:ascii="Arial" w:cs="Arial" w:eastAsia="Arial" w:hAnsi="Arial"/>
                <w:color w:val="444444"/>
                <w:sz w:val="17"/>
                <w:szCs w:val="17"/>
              </w:rPr>
              <w:t xml:space="preserve">Moving from 'what happened' to 'why it happened and what to do about it'. Essential for DS credibility.</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b/>
                <w:bCs/>
                <w:color w:val="0D6E6E"/>
                <w:sz w:val="17"/>
                <w:szCs w:val="17"/>
              </w:rPr>
              <w:t xml:space="preserve">MLOps fundamentals (serialisation, scoring pipelines, drift, Snowflake Model Registry)</w:t>
            </w:r>
          </w:p>
        </w:tc>
        <w:tc>
          <w:tcPr>
            <w:tcW w:type="dxa" w:w="4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444444"/>
                <w:sz w:val="17"/>
                <w:szCs w:val="17"/>
              </w:rPr>
              <w:t xml:space="preserve">The bridge between notebook and production. A model no one uses is not a data science output.</w:t>
            </w:r>
          </w:p>
        </w:tc>
      </w:tr>
      <w:tr>
        <w:tc>
          <w:tcPr>
            <w:tcW w:type="dxa" w:w="4480"/>
            <w:tcBorders>
              <w:top w:val="single" w:color="CCCCCC" w:sz="1"/>
              <w:left w:val="single" w:color="CCCCCC" w:sz="1"/>
              <w:bottom w:val="single" w:color="CCCCCC" w:sz="1"/>
              <w:right w:val="single" w:color="CCCCCC" w:sz="1"/>
            </w:tcBorders>
            <w:shd w:fill="E0F2F2" w:val="clear"/>
            <w:tcMar>
              <w:top w:type="dxa" w:w="80"/>
              <w:left w:type="dxa" w:w="160"/>
              <w:bottom w:type="dxa" w:w="80"/>
              <w:right w:type="dxa" w:w="160"/>
            </w:tcMar>
          </w:tcPr>
          <w:p>
            <w:pPr>
              <w:spacing w:before="0" w:after="0"/>
            </w:pPr>
            <w:r>
              <w:rPr>
                <w:rFonts w:ascii="Arial" w:cs="Arial" w:eastAsia="Arial" w:hAnsi="Arial"/>
                <w:b/>
                <w:bCs/>
                <w:color w:val="0D6E6E"/>
                <w:sz w:val="17"/>
                <w:szCs w:val="17"/>
              </w:rPr>
              <w:t xml:space="preserve">Uncertainty and communication (prediction intervals, explaining model confidence)</w:t>
            </w:r>
          </w:p>
        </w:tc>
        <w:tc>
          <w:tcPr>
            <w:tcW w:type="dxa" w:w="4880"/>
            <w:tcBorders>
              <w:top w:val="single" w:color="CCCCCC" w:sz="1"/>
              <w:left w:val="single" w:color="CCCCCC" w:sz="1"/>
              <w:bottom w:val="single" w:color="CCCCCC" w:sz="1"/>
              <w:right w:val="single" w:color="CCCCCC" w:sz="1"/>
            </w:tcBorders>
            <w:shd w:fill="E0F2F2" w:val="clear"/>
            <w:tcMar>
              <w:top w:type="dxa" w:w="80"/>
              <w:left w:type="dxa" w:w="160"/>
              <w:bottom w:type="dxa" w:w="80"/>
              <w:right w:type="dxa" w:w="160"/>
            </w:tcMar>
          </w:tcPr>
          <w:p>
            <w:pPr>
              <w:spacing w:before="0" w:after="0"/>
            </w:pPr>
            <w:r>
              <w:rPr>
                <w:rFonts w:ascii="Arial" w:cs="Arial" w:eastAsia="Arial" w:hAnsi="Arial"/>
                <w:color w:val="444444"/>
                <w:sz w:val="17"/>
                <w:szCs w:val="17"/>
              </w:rPr>
              <w:t xml:space="preserve">The skill that separates analysts who present results from data scientists who guide decisions.</w:t>
            </w:r>
          </w:p>
        </w:tc>
      </w:tr>
    </w:tbl>
    <w:p>
      <w:pPr>
        <w:spacing w:before="80" w:after="0"/>
      </w:pP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6E6E" w:val="clear"/>
            <w:tcMar>
              <w:top w:type="dxa" w:w="200"/>
              <w:left w:type="dxa" w:w="300"/>
              <w:bottom w:type="dxa" w:w="200"/>
              <w:right w:type="dxa" w:w="300"/>
            </w:tcMar>
          </w:tcPr>
          <w:p>
            <w:pPr>
              <w:spacing w:before="0" w:after="80"/>
            </w:pPr>
            <w:r>
              <w:rPr>
                <w:rFonts w:ascii="Arial" w:cs="Arial" w:eastAsia="Arial" w:hAnsi="Arial"/>
                <w:b/>
                <w:bCs/>
                <w:color w:val="88CCCC"/>
                <w:sz w:val="22"/>
                <w:szCs w:val="22"/>
              </w:rPr>
              <w:t xml:space="preserve">SECTION 7</w:t>
            </w:r>
          </w:p>
          <w:p>
            <w:pPr>
              <w:spacing w:before="0" w:after="60"/>
            </w:pPr>
            <w:r>
              <w:rPr>
                <w:rFonts w:ascii="Arial" w:cs="Arial" w:eastAsia="Arial" w:hAnsi="Arial"/>
                <w:b/>
                <w:bCs/>
                <w:color w:val="FFFFFF"/>
                <w:sz w:val="34"/>
                <w:szCs w:val="34"/>
              </w:rPr>
              <w:t xml:space="preserve">Data Science Pathway — Form Questions</w:t>
            </w:r>
          </w:p>
          <w:p>
            <w:pPr>
              <w:spacing w:before="0" w:after="0"/>
            </w:pPr>
            <w:r>
              <w:rPr>
                <w:rFonts w:ascii="Arial" w:cs="Arial" w:eastAsia="Arial" w:hAnsi="Arial"/>
                <w:i/>
                <w:iCs/>
                <w:color w:val="AADDDD"/>
                <w:sz w:val="18"/>
                <w:szCs w:val="18"/>
              </w:rPr>
              <w:t xml:space="preserve">Add this as a new section at the end of your existing form. Keep the same 1–5 rating scale.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2F2" w:val="clear"/>
            <w:tcMar>
              <w:top w:type="dxa" w:w="120"/>
              <w:left w:type="dxa" w:w="200"/>
              <w:bottom w:type="dxa" w:w="120"/>
              <w:right w:type="dxa" w:w="200"/>
            </w:tcMar>
          </w:tcPr>
          <w:p>
            <w:pPr>
              <w:spacing w:before="0" w:after="60"/>
            </w:pPr>
            <w:r>
              <w:rPr>
                <w:rFonts w:ascii="Arial" w:cs="Arial" w:eastAsia="Arial" w:hAnsi="Arial"/>
                <w:b/>
                <w:bCs/>
                <w:color w:val="0D6E6E"/>
                <w:sz w:val="17"/>
                <w:szCs w:val="17"/>
              </w:rPr>
              <w:t xml:space="preserve">Suggested section introduction text (copy into your form):</w:t>
            </w:r>
          </w:p>
          <w:p>
            <w:pPr>
              <w:spacing w:before="0" w:after="0"/>
            </w:pPr>
            <w:r>
              <w:rPr>
                <w:rFonts w:ascii="Arial" w:cs="Arial" w:eastAsia="Arial" w:hAnsi="Arial"/>
                <w:color w:val="333333"/>
                <w:sz w:val="17"/>
                <w:szCs w:val="17"/>
              </w:rPr>
              <w:t xml:space="preserve">This section measures where you sit on the analyst-to-data-scientist pathway. Some of these concepts may be new to you — that is completely fine. If you haven't encountered something yet, rate yourself 1 or 2. That is exactly the information your Chapter Lead needs to build the right training path for you. There are no wrong answers.</w:t>
            </w:r>
          </w:p>
        </w:tc>
      </w:tr>
    </w:tbl>
    <w:p>
      <w:pPr>
        <w:spacing w:before="120" w:after="0"/>
      </w:pPr>
    </w:p>
    <w:p>
      <w:pPr>
        <w:spacing w:before="200" w:after="80"/>
      </w:pPr>
      <w:r>
        <w:rPr>
          <w:rFonts w:ascii="Arial" w:cs="Arial" w:eastAsia="Arial" w:hAnsi="Arial"/>
          <w:b/>
          <w:bCs/>
          <w:color w:val="0D6E6E"/>
          <w:sz w:val="21"/>
          <w:szCs w:val="21"/>
        </w:rPr>
        <w:t xml:space="preserve">7.1  Mathematical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0D6E6E"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Q36</w:t>
            </w:r>
          </w:p>
        </w:tc>
        <w:tc>
          <w:tcPr>
            <w:tcW w:type="dxa" w:w="2000"/>
            <w:tcBorders>
              <w:top w:val="single" w:color="CCCCCC" w:sz="1"/>
              <w:left w:val="none" w:color="FFFFFF" w:sz="0"/>
              <w:bottom w:val="none" w:color="FFFFFF" w:sz="0"/>
              <w:right w:val="none" w:color="FFFFFF" w:sz="0"/>
            </w:tcBorders>
            <w:shd w:fill="E0F2F2"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RATING GRID  (1–5 scale)</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b/>
                <w:bCs/>
                <w:i/>
                <w:iCs/>
                <w:color w:val="0D6E6E"/>
                <w:sz w:val="16"/>
                <w:szCs w:val="16"/>
              </w:rPr>
              <w:t xml:space="preserve">Section 7 — Data Science Pathway</w:t>
            </w:r>
          </w:p>
        </w:tc>
      </w:tr>
      <w:tr>
        <w:tc>
          <w:tcPr>
            <w:tcW w:type="dxa" w:w="9360"/>
            <w:gridSpan w:val="3"/>
            <w:tcBorders>
              <w:top w:val="none" w:color="FFFFFF" w:sz="0"/>
              <w:left w:val="single" w:color="CCCCCC" w:sz="1"/>
              <w:bottom w:val="none" w:color="FFFFFF" w:sz="0"/>
              <w:right w:val="single" w:color="CCCCCC" w:sz="1"/>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Rate your understanding of the mathematical foundations behind machine learning models</w:t>
            </w:r>
          </w:p>
        </w:tc>
      </w:tr>
      <w:tr>
        <w:tc>
          <w:tcPr>
            <w:gridSpan w:val="3"/>
            <w:tcBorders>
              <w:top w:val="none" w:color="FFFFFF" w:sz="0"/>
              <w:left w:val="single" w:color="CCCCCC" w:sz="1"/>
              <w:bottom w:val="none" w:color="FFFFFF" w:sz="0"/>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This is about conceptual understanding — not the ability to write proofs. Can you follow the logic of why a model works the way it does?</w:t>
            </w:r>
          </w:p>
        </w:tc>
      </w:tr>
      <w:tr>
        <w:tc>
          <w:tcPr>
            <w:gridSpan w:val="3"/>
            <w:tcBorders>
              <w:top w:val="none" w:color="FFFFFF" w:sz="0"/>
              <w:left w:val="single" w:color="CCCCCC" w:sz="1"/>
              <w:bottom w:val="single" w:color="CCCCCC" w:sz="1"/>
              <w:right w:val="single" w:color="CCCCCC" w:sz="1"/>
            </w:tcBorders>
            <w:shd w:fill="FAFAFA" w:val="clear"/>
            <w:tcMar>
              <w:top w:type="dxa" w:w="80"/>
              <w:left w:type="dxa" w:w="120"/>
              <w:bottom w:type="dxa" w:w="80"/>
              <w:right w:type="dxa" w:w="120"/>
            </w:tcMar>
          </w:tcPr>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c>
                <w:tcPr>
                  <w:tcW w:type="dxa" w:w="5360"/>
                  <w:tcBorders>
                    <w:top w:val="single" w:color="CCCCCC" w:sz="1"/>
                    <w:left w:val="single" w:color="CCCCCC" w:sz="1"/>
                    <w:bottom w:val="single" w:color="CCCCCC" w:sz="1"/>
                    <w:right w:val="single" w:color="CCCCCC" w:sz="1"/>
                  </w:tcBorders>
                  <w:shd w:fill="E0F2F2" w:val="clear"/>
                  <w:tcMar>
                    <w:top w:type="dxa" w:w="60"/>
                    <w:left w:type="dxa" w:w="120"/>
                    <w:bottom w:type="dxa" w:w="60"/>
                    <w:right w:type="dxa" w:w="120"/>
                  </w:tcMar>
                </w:tcPr>
                <w:p>
                  <w:pPr>
                    <w:spacing w:before="0" w:after="0"/>
                  </w:pPr>
                  <w:r>
                    <w:rPr>
                      <w:rFonts w:ascii="Arial" w:cs="Arial" w:eastAsia="Arial" w:hAnsi="Arial"/>
                      <w:b/>
                      <w:bCs/>
                      <w:color w:val="0D6E6E"/>
                      <w:sz w:val="17"/>
                      <w:szCs w:val="17"/>
                    </w:rPr>
                    <w:t xml:space="preserve">Skill / Concept</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1 — Unaware</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2 — Aware</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3 — Developing</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4 — Proficient</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5 — Advanced</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Linear algebra basics — matrices, vectors, dot products, how weights are represented</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Calculus and gradients — derivatives, gradient descent, why models minimise a loss function</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Probability theory — conditional probability, Bayes' theorem, prior and posterior</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Loss functions — MSE for regression, cross-entropy for classification, why they measure model error</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bl>
          <w:p/>
        </w:tc>
      </w:tr>
    </w:tbl>
    <w:p>
      <w:pPr>
        <w:spacing w:before="100" w:after="0"/>
      </w:pPr>
    </w:p>
    <w:p>
      <w:pPr>
        <w:spacing w:before="200" w:after="80"/>
      </w:pPr>
      <w:r>
        <w:rPr>
          <w:rFonts w:ascii="Arial" w:cs="Arial" w:eastAsia="Arial" w:hAnsi="Arial"/>
          <w:b/>
          <w:bCs/>
          <w:color w:val="0D6E6E"/>
          <w:sz w:val="21"/>
          <w:szCs w:val="21"/>
        </w:rPr>
        <w:t xml:space="preserve">7.2  Model Selection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0D6E6E"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Q37</w:t>
            </w:r>
          </w:p>
        </w:tc>
        <w:tc>
          <w:tcPr>
            <w:tcW w:type="dxa" w:w="2000"/>
            <w:tcBorders>
              <w:top w:val="single" w:color="CCCCCC" w:sz="1"/>
              <w:left w:val="none" w:color="FFFFFF" w:sz="0"/>
              <w:bottom w:val="none" w:color="FFFFFF" w:sz="0"/>
              <w:right w:val="none" w:color="FFFFFF" w:sz="0"/>
            </w:tcBorders>
            <w:shd w:fill="E0F2F2"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RATING GRID  (1–5 scale)</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b/>
                <w:bCs/>
                <w:i/>
                <w:iCs/>
                <w:color w:val="0D6E6E"/>
                <w:sz w:val="16"/>
                <w:szCs w:val="16"/>
              </w:rPr>
              <w:t xml:space="preserve">Section 7 — Data Science Pathway</w:t>
            </w:r>
          </w:p>
        </w:tc>
      </w:tr>
      <w:tr>
        <w:tc>
          <w:tcPr>
            <w:tcW w:type="dxa" w:w="9360"/>
            <w:gridSpan w:val="3"/>
            <w:tcBorders>
              <w:top w:val="none" w:color="FFFFFF" w:sz="0"/>
              <w:left w:val="single" w:color="CCCCCC" w:sz="1"/>
              <w:bottom w:val="none" w:color="FFFFFF" w:sz="0"/>
              <w:right w:val="single" w:color="CCCCCC" w:sz="1"/>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Rate your confidence in selecting the right analytical approach for a given problem</w:t>
            </w:r>
          </w:p>
        </w:tc>
      </w:tr>
      <w:tr>
        <w:tc>
          <w:tcPr>
            <w:gridSpan w:val="3"/>
            <w:tcBorders>
              <w:top w:val="none" w:color="FFFFFF" w:sz="0"/>
              <w:left w:val="single" w:color="CCCCCC" w:sz="1"/>
              <w:bottom w:val="none" w:color="FFFFFF" w:sz="0"/>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The key question: given a business problem you've never seen before, can you frame it analytically and justify your approach before touching any data?</w:t>
            </w:r>
          </w:p>
        </w:tc>
      </w:tr>
      <w:tr>
        <w:tc>
          <w:tcPr>
            <w:gridSpan w:val="3"/>
            <w:tcBorders>
              <w:top w:val="none" w:color="FFFFFF" w:sz="0"/>
              <w:left w:val="single" w:color="CCCCCC" w:sz="1"/>
              <w:bottom w:val="single" w:color="CCCCCC" w:sz="1"/>
              <w:right w:val="single" w:color="CCCCCC" w:sz="1"/>
            </w:tcBorders>
            <w:shd w:fill="FAFAFA" w:val="clear"/>
            <w:tcMar>
              <w:top w:type="dxa" w:w="80"/>
              <w:left w:type="dxa" w:w="120"/>
              <w:bottom w:type="dxa" w:w="80"/>
              <w:right w:type="dxa" w:w="120"/>
            </w:tcMar>
          </w:tcPr>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c>
                <w:tcPr>
                  <w:tcW w:type="dxa" w:w="5360"/>
                  <w:tcBorders>
                    <w:top w:val="single" w:color="CCCCCC" w:sz="1"/>
                    <w:left w:val="single" w:color="CCCCCC" w:sz="1"/>
                    <w:bottom w:val="single" w:color="CCCCCC" w:sz="1"/>
                    <w:right w:val="single" w:color="CCCCCC" w:sz="1"/>
                  </w:tcBorders>
                  <w:shd w:fill="E0F2F2" w:val="clear"/>
                  <w:tcMar>
                    <w:top w:type="dxa" w:w="60"/>
                    <w:left w:type="dxa" w:w="120"/>
                    <w:bottom w:type="dxa" w:w="60"/>
                    <w:right w:type="dxa" w:w="120"/>
                  </w:tcMar>
                </w:tcPr>
                <w:p>
                  <w:pPr>
                    <w:spacing w:before="0" w:after="0"/>
                  </w:pPr>
                  <w:r>
                    <w:rPr>
                      <w:rFonts w:ascii="Arial" w:cs="Arial" w:eastAsia="Arial" w:hAnsi="Arial"/>
                      <w:b/>
                      <w:bCs/>
                      <w:color w:val="0D6E6E"/>
                      <w:sz w:val="17"/>
                      <w:szCs w:val="17"/>
                    </w:rPr>
                    <w:t xml:space="preserve">Skill / Concept</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1 — Unaware</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2 — Aware</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3 — Developing</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4 — Proficient</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5 — Advanced</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Problem framing — translating a business question into a concrete ML problem statement (target, features, success metric)</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Algorithm selection — choosing between regression, classification, clustering, or time series based on problem structure and data</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Interpretability vs performance trade-off — knowing when a black-box model is inappropriate (e.g. regulated insurance decisions)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Baseline modelling — always establishing a meaningful baseline before building complexity</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bl>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0D6E6E"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Q38</w:t>
            </w:r>
          </w:p>
        </w:tc>
        <w:tc>
          <w:tcPr>
            <w:tcW w:type="dxa" w:w="2000"/>
            <w:tcBorders>
              <w:top w:val="single" w:color="CCCCCC" w:sz="1"/>
              <w:left w:val="none" w:color="FFFFFF" w:sz="0"/>
              <w:bottom w:val="none" w:color="FFFFFF" w:sz="0"/>
              <w:right w:val="none" w:color="FFFFFF" w:sz="0"/>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b/>
                <w:bCs/>
                <w:i/>
                <w:iCs/>
                <w:color w:val="0D6E6E"/>
                <w:sz w:val="16"/>
                <w:szCs w:val="16"/>
              </w:rPr>
              <w:t xml:space="preserve">Section 7 — Data Science Pathway</w:t>
            </w:r>
          </w:p>
        </w:tc>
      </w:tr>
      <w:tr>
        <w:tc>
          <w:tcPr>
            <w:tcW w:type="dxa" w:w="9360"/>
            <w:gridSpan w:val="3"/>
            <w:tcBorders>
              <w:top w:val="none" w:color="FFFFFF" w:sz="0"/>
              <w:left w:val="single" w:color="CCCCCC" w:sz="1"/>
              <w:bottom w:val="none" w:color="FFFFFF" w:sz="0"/>
              <w:right w:val="single" w:color="CCCCCC" w:sz="1"/>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You are given this problem: 'We want to reduce claims costs — which customers are most likely to make a large claim next year?' Walk through how you would approach this analytically.</w:t>
            </w:r>
          </w:p>
        </w:tc>
      </w:tr>
      <w:tr>
        <w:tc>
          <w:tcPr>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Don't worry about the code — describe how you would frame the problem, what method you'd consider, and what you'd need to know before starting. There's no single right answer.</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0D6E6E"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Q39</w:t>
            </w:r>
          </w:p>
        </w:tc>
        <w:tc>
          <w:tcPr>
            <w:tcW w:type="dxa" w:w="2000"/>
            <w:tcBorders>
              <w:top w:val="single" w:color="CCCCCC" w:sz="1"/>
              <w:left w:val="none" w:color="FFFFFF" w:sz="0"/>
              <w:bottom w:val="none" w:color="FFFFFF" w:sz="0"/>
              <w:right w:val="none" w:color="FFFFFF" w:sz="0"/>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b/>
                <w:bCs/>
                <w:i/>
                <w:iCs/>
                <w:color w:val="0D6E6E"/>
                <w:sz w:val="16"/>
                <w:szCs w:val="16"/>
              </w:rPr>
              <w:t xml:space="preserve">Section 7 — Data Science Pathway</w:t>
            </w:r>
          </w:p>
        </w:tc>
      </w:tr>
      <w:tr>
        <w:tc>
          <w:tcPr>
            <w:tcW w:type="dxa" w:w="9360"/>
            <w:gridSpan w:val="3"/>
            <w:tcBorders>
              <w:top w:val="none" w:color="FFFFFF" w:sz="0"/>
              <w:left w:val="single" w:color="CCCCCC" w:sz="1"/>
              <w:bottom w:val="none" w:color="FFFFFF" w:sz="0"/>
              <w:right w:val="single" w:color="CCCCCC" w:sz="1"/>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Describe a situation where a simpler model was the better choice over a complex one. Why did simplicity win?</w:t>
            </w:r>
          </w:p>
        </w:tc>
      </w:tr>
      <w:tr>
        <w:tc>
          <w:tcPr>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If you haven't faced this directly, describe a scenario where you think a simple model would beat a complex one and why.</w:t>
            </w:r>
          </w:p>
        </w:tc>
      </w:tr>
    </w:tbl>
    <w:p>
      <w:pPr>
        <w:spacing w:before="100" w:after="0"/>
      </w:pPr>
    </w:p>
    <w:p>
      <w:pPr>
        <w:spacing w:before="200" w:after="80"/>
      </w:pPr>
      <w:r>
        <w:rPr>
          <w:rFonts w:ascii="Arial" w:cs="Arial" w:eastAsia="Arial" w:hAnsi="Arial"/>
          <w:b/>
          <w:bCs/>
          <w:color w:val="0D6E6E"/>
          <w:sz w:val="21"/>
          <w:szCs w:val="21"/>
        </w:rPr>
        <w:t xml:space="preserve">7.3  Feature Engineering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0D6E6E"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Q40</w:t>
            </w:r>
          </w:p>
        </w:tc>
        <w:tc>
          <w:tcPr>
            <w:tcW w:type="dxa" w:w="2000"/>
            <w:tcBorders>
              <w:top w:val="single" w:color="CCCCCC" w:sz="1"/>
              <w:left w:val="none" w:color="FFFFFF" w:sz="0"/>
              <w:bottom w:val="none" w:color="FFFFFF" w:sz="0"/>
              <w:right w:val="none" w:color="FFFFFF" w:sz="0"/>
            </w:tcBorders>
            <w:shd w:fill="E0F2F2"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RATING GRID  (1–5 scale)</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b/>
                <w:bCs/>
                <w:i/>
                <w:iCs/>
                <w:color w:val="0D6E6E"/>
                <w:sz w:val="16"/>
                <w:szCs w:val="16"/>
              </w:rPr>
              <w:t xml:space="preserve">Section 7 — Data Science Pathway</w:t>
            </w:r>
          </w:p>
        </w:tc>
      </w:tr>
      <w:tr>
        <w:tc>
          <w:tcPr>
            <w:tcW w:type="dxa" w:w="9360"/>
            <w:gridSpan w:val="3"/>
            <w:tcBorders>
              <w:top w:val="none" w:color="FFFFFF" w:sz="0"/>
              <w:left w:val="single" w:color="CCCCCC" w:sz="1"/>
              <w:bottom w:val="none" w:color="FFFFFF" w:sz="0"/>
              <w:right w:val="single" w:color="CCCCCC" w:sz="1"/>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Rate your feature engineering proficiency</w:t>
            </w:r>
          </w:p>
        </w:tc>
      </w:tr>
      <w:tr>
        <w:tc>
          <w:tcPr>
            <w:gridSpan w:val="3"/>
            <w:tcBorders>
              <w:top w:val="none" w:color="FFFFFF" w:sz="0"/>
              <w:left w:val="single" w:color="CCCCCC" w:sz="1"/>
              <w:bottom w:val="none" w:color="FFFFFF" w:sz="0"/>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Feature engineering is where most analyst-built models fail in production. This section goes beyond 'I can one-hot encode' to the discipline behind production-grade feature pipelines.</w:t>
            </w:r>
          </w:p>
        </w:tc>
      </w:tr>
      <w:tr>
        <w:tc>
          <w:tcPr>
            <w:gridSpan w:val="3"/>
            <w:tcBorders>
              <w:top w:val="none" w:color="FFFFFF" w:sz="0"/>
              <w:left w:val="single" w:color="CCCCCC" w:sz="1"/>
              <w:bottom w:val="single" w:color="CCCCCC" w:sz="1"/>
              <w:right w:val="single" w:color="CCCCCC" w:sz="1"/>
            </w:tcBorders>
            <w:shd w:fill="FAFAFA" w:val="clear"/>
            <w:tcMar>
              <w:top w:type="dxa" w:w="80"/>
              <w:left w:type="dxa" w:w="120"/>
              <w:bottom w:type="dxa" w:w="80"/>
              <w:right w:type="dxa" w:w="120"/>
            </w:tcMar>
          </w:tcPr>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c>
                <w:tcPr>
                  <w:tcW w:type="dxa" w:w="5360"/>
                  <w:tcBorders>
                    <w:top w:val="single" w:color="CCCCCC" w:sz="1"/>
                    <w:left w:val="single" w:color="CCCCCC" w:sz="1"/>
                    <w:bottom w:val="single" w:color="CCCCCC" w:sz="1"/>
                    <w:right w:val="single" w:color="CCCCCC" w:sz="1"/>
                  </w:tcBorders>
                  <w:shd w:fill="E0F2F2" w:val="clear"/>
                  <w:tcMar>
                    <w:top w:type="dxa" w:w="60"/>
                    <w:left w:type="dxa" w:w="120"/>
                    <w:bottom w:type="dxa" w:w="60"/>
                    <w:right w:type="dxa" w:w="120"/>
                  </w:tcMar>
                </w:tcPr>
                <w:p>
                  <w:pPr>
                    <w:spacing w:before="0" w:after="0"/>
                  </w:pPr>
                  <w:r>
                    <w:rPr>
                      <w:rFonts w:ascii="Arial" w:cs="Arial" w:eastAsia="Arial" w:hAnsi="Arial"/>
                      <w:b/>
                      <w:bCs/>
                      <w:color w:val="0D6E6E"/>
                      <w:sz w:val="17"/>
                      <w:szCs w:val="17"/>
                    </w:rPr>
                    <w:t xml:space="preserve">Skill / Concept</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1 — Unaware</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2 — Aware</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3 — Developing</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4 — Proficient</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5 — Advanced</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Encoding strategies — one-hot, label, ordinal, target encoding — know when each is appropriate and the risks of each</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Handling skew and outliers — log transforms, winsorisation, knowing when outliers are errors vs signal</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Feature selection — filter methods, wrapper methods, SHAP-based selection, L1/L2 regularisation effects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Target leakage — identifying and preventing leakage in feature engineering pipelines, especially time-dependent features</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Interaction terms and polynomial features — when and why to engineer non-linear relationships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bl>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0D6E6E"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Q41</w:t>
            </w:r>
          </w:p>
        </w:tc>
        <w:tc>
          <w:tcPr>
            <w:tcW w:type="dxa" w:w="2000"/>
            <w:tcBorders>
              <w:top w:val="single" w:color="CCCCCC" w:sz="1"/>
              <w:left w:val="none" w:color="FFFFFF" w:sz="0"/>
              <w:bottom w:val="none" w:color="FFFFFF" w:sz="0"/>
              <w:right w:val="none" w:color="FFFFFF" w:sz="0"/>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b/>
                <w:bCs/>
                <w:i/>
                <w:iCs/>
                <w:color w:val="0D6E6E"/>
                <w:sz w:val="16"/>
                <w:szCs w:val="16"/>
              </w:rPr>
              <w:t xml:space="preserve">Section 7 — Data Science Pathway</w:t>
            </w:r>
          </w:p>
        </w:tc>
      </w:tr>
      <w:tr>
        <w:tc>
          <w:tcPr>
            <w:tcW w:type="dxa" w:w="9360"/>
            <w:gridSpan w:val="3"/>
            <w:tcBorders>
              <w:top w:val="none" w:color="FFFFFF" w:sz="0"/>
              <w:left w:val="single" w:color="CCCCCC" w:sz="1"/>
              <w:bottom w:val="none" w:color="FFFFFF" w:sz="0"/>
              <w:right w:val="single" w:color="CCCCCC" w:sz="1"/>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What is target leakage and how would you detect it in a feature set you've been handed? Give a specific example of what leakage might look like in an insurance or financial services context.</w:t>
            </w:r>
          </w:p>
        </w:tc>
      </w:tr>
      <w:tr>
        <w:tc>
          <w:tcPr>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e.g. Including a feature that is only available after the outcome has occurred — claims settlement date included in a claims propensity model.</w:t>
            </w:r>
          </w:p>
        </w:tc>
      </w:tr>
    </w:tbl>
    <w:p>
      <w:pPr>
        <w:spacing w:before="100" w:after="0"/>
      </w:pPr>
    </w:p>
    <w:p>
      <w:pPr>
        <w:spacing w:before="200" w:after="80"/>
      </w:pPr>
      <w:r>
        <w:rPr>
          <w:rFonts w:ascii="Arial" w:cs="Arial" w:eastAsia="Arial" w:hAnsi="Arial"/>
          <w:b/>
          <w:bCs/>
          <w:color w:val="0D6E6E"/>
          <w:sz w:val="21"/>
          <w:szCs w:val="21"/>
        </w:rPr>
        <w:t xml:space="preserve">7.4  Experiment Design and Causal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0D6E6E"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Q42</w:t>
            </w:r>
          </w:p>
        </w:tc>
        <w:tc>
          <w:tcPr>
            <w:tcW w:type="dxa" w:w="2000"/>
            <w:tcBorders>
              <w:top w:val="single" w:color="CCCCCC" w:sz="1"/>
              <w:left w:val="none" w:color="FFFFFF" w:sz="0"/>
              <w:bottom w:val="none" w:color="FFFFFF" w:sz="0"/>
              <w:right w:val="none" w:color="FFFFFF" w:sz="0"/>
            </w:tcBorders>
            <w:shd w:fill="E0F2F2"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RATING GRID  (1–5 scale)</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b/>
                <w:bCs/>
                <w:i/>
                <w:iCs/>
                <w:color w:val="0D6E6E"/>
                <w:sz w:val="16"/>
                <w:szCs w:val="16"/>
              </w:rPr>
              <w:t xml:space="preserve">Section 7 — Data Science Pathway</w:t>
            </w:r>
          </w:p>
        </w:tc>
      </w:tr>
      <w:tr>
        <w:tc>
          <w:tcPr>
            <w:tcW w:type="dxa" w:w="9360"/>
            <w:gridSpan w:val="3"/>
            <w:tcBorders>
              <w:top w:val="none" w:color="FFFFFF" w:sz="0"/>
              <w:left w:val="single" w:color="CCCCCC" w:sz="1"/>
              <w:bottom w:val="none" w:color="FFFFFF" w:sz="0"/>
              <w:right w:val="single" w:color="CCCCCC" w:sz="1"/>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Rate your experiment design and causal inference proficiency</w:t>
            </w:r>
          </w:p>
        </w:tc>
      </w:tr>
      <w:tr>
        <w:tc>
          <w:tcPr>
            <w:gridSpan w:val="3"/>
            <w:tcBorders>
              <w:top w:val="none" w:color="FFFFFF" w:sz="0"/>
              <w:left w:val="single" w:color="CCCCCC" w:sz="1"/>
              <w:bottom w:val="single" w:color="CCCCCC" w:sz="1"/>
              <w:right w:val="single" w:color="CCCCCC" w:sz="1"/>
            </w:tcBorders>
            <w:shd w:fill="FAFAFA" w:val="clear"/>
            <w:tcMar>
              <w:top w:type="dxa" w:w="80"/>
              <w:left w:type="dxa" w:w="120"/>
              <w:bottom w:type="dxa" w:w="80"/>
              <w:right w:type="dxa" w:w="120"/>
            </w:tcMar>
          </w:tcPr>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c>
                <w:tcPr>
                  <w:tcW w:type="dxa" w:w="5360"/>
                  <w:tcBorders>
                    <w:top w:val="single" w:color="CCCCCC" w:sz="1"/>
                    <w:left w:val="single" w:color="CCCCCC" w:sz="1"/>
                    <w:bottom w:val="single" w:color="CCCCCC" w:sz="1"/>
                    <w:right w:val="single" w:color="CCCCCC" w:sz="1"/>
                  </w:tcBorders>
                  <w:shd w:fill="E0F2F2" w:val="clear"/>
                  <w:tcMar>
                    <w:top w:type="dxa" w:w="60"/>
                    <w:left w:type="dxa" w:w="120"/>
                    <w:bottom w:type="dxa" w:w="60"/>
                    <w:right w:type="dxa" w:w="120"/>
                  </w:tcMar>
                </w:tcPr>
                <w:p>
                  <w:pPr>
                    <w:spacing w:before="0" w:after="0"/>
                  </w:pPr>
                  <w:r>
                    <w:rPr>
                      <w:rFonts w:ascii="Arial" w:cs="Arial" w:eastAsia="Arial" w:hAnsi="Arial"/>
                      <w:b/>
                      <w:bCs/>
                      <w:color w:val="0D6E6E"/>
                      <w:sz w:val="17"/>
                      <w:szCs w:val="17"/>
                    </w:rPr>
                    <w:t xml:space="preserve">Skill / Concept</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1 — Unaware</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2 — Aware</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3 — Developing</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4 — Proficient</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5 — Advanced</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A/B test design — defining hypothesis, selecting primary metric, controlling for confounders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Sample size and power — calculating required sample size, understanding minimum detectable effect</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Multiple testing — Bonferroni correction, false discovery rate, why running many tests inflates false positives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Causal inference basics — difference-in-differences, propensity score matching, when observational data misleads</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Experiment validity — internal vs external validity, SUTVA, novelty effects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bl>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0D6E6E"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Q43</w:t>
            </w:r>
          </w:p>
        </w:tc>
        <w:tc>
          <w:tcPr>
            <w:tcW w:type="dxa" w:w="2000"/>
            <w:tcBorders>
              <w:top w:val="single" w:color="CCCCCC" w:sz="1"/>
              <w:left w:val="none" w:color="FFFFFF" w:sz="0"/>
              <w:bottom w:val="none" w:color="FFFFFF" w:sz="0"/>
              <w:right w:val="none" w:color="FFFFFF" w:sz="0"/>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b/>
                <w:bCs/>
                <w:i/>
                <w:iCs/>
                <w:color w:val="0D6E6E"/>
                <w:sz w:val="16"/>
                <w:szCs w:val="16"/>
              </w:rPr>
              <w:t xml:space="preserve">Section 7 — Data Science Pathway</w:t>
            </w:r>
          </w:p>
        </w:tc>
      </w:tr>
      <w:tr>
        <w:tc>
          <w:tcPr>
            <w:tcW w:type="dxa" w:w="9360"/>
            <w:gridSpan w:val="3"/>
            <w:tcBorders>
              <w:top w:val="none" w:color="FFFFFF" w:sz="0"/>
              <w:left w:val="single" w:color="CCCCCC" w:sz="1"/>
              <w:bottom w:val="none" w:color="FFFFFF" w:sz="0"/>
              <w:right w:val="single" w:color="CCCCCC" w:sz="1"/>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A business stakeholder wants to know whether a new pricing model increased retention. They have 3 months of post-launch data but no control group was set up. How do you approach this?</w:t>
            </w:r>
          </w:p>
        </w:tc>
      </w:tr>
      <w:tr>
        <w:tc>
          <w:tcPr>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Think about what analytical options exist when a proper experiment wasn't run. What can you conclude and what can't you?</w:t>
            </w:r>
          </w:p>
        </w:tc>
      </w:tr>
    </w:tbl>
    <w:p>
      <w:pPr>
        <w:spacing w:before="100" w:after="0"/>
      </w:pPr>
    </w:p>
    <w:p>
      <w:pPr>
        <w:spacing w:before="200" w:after="80"/>
      </w:pPr>
      <w:r>
        <w:rPr>
          <w:rFonts w:ascii="Arial" w:cs="Arial" w:eastAsia="Arial" w:hAnsi="Arial"/>
          <w:b/>
          <w:bCs/>
          <w:color w:val="0D6E6E"/>
          <w:sz w:val="21"/>
          <w:szCs w:val="21"/>
        </w:rPr>
        <w:t xml:space="preserve">7.5  MLOps and Model Deployment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0D6E6E"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Q44</w:t>
            </w:r>
          </w:p>
        </w:tc>
        <w:tc>
          <w:tcPr>
            <w:tcW w:type="dxa" w:w="2000"/>
            <w:tcBorders>
              <w:top w:val="single" w:color="CCCCCC" w:sz="1"/>
              <w:left w:val="none" w:color="FFFFFF" w:sz="0"/>
              <w:bottom w:val="none" w:color="FFFFFF" w:sz="0"/>
              <w:right w:val="none" w:color="FFFFFF" w:sz="0"/>
            </w:tcBorders>
            <w:shd w:fill="E0F2F2"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RATING GRID  (1–5 scale)</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b/>
                <w:bCs/>
                <w:i/>
                <w:iCs/>
                <w:color w:val="0D6E6E"/>
                <w:sz w:val="16"/>
                <w:szCs w:val="16"/>
              </w:rPr>
              <w:t xml:space="preserve">Section 7 — Data Science Pathway</w:t>
            </w:r>
          </w:p>
        </w:tc>
      </w:tr>
      <w:tr>
        <w:tc>
          <w:tcPr>
            <w:tcW w:type="dxa" w:w="9360"/>
            <w:gridSpan w:val="3"/>
            <w:tcBorders>
              <w:top w:val="none" w:color="FFFFFF" w:sz="0"/>
              <w:left w:val="single" w:color="CCCCCC" w:sz="1"/>
              <w:bottom w:val="none" w:color="FFFFFF" w:sz="0"/>
              <w:right w:val="single" w:color="CCCCCC" w:sz="1"/>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Rate your MLOps and model deployment awareness</w:t>
            </w:r>
          </w:p>
        </w:tc>
      </w:tr>
      <w:tr>
        <w:tc>
          <w:tcPr>
            <w:gridSpan w:val="3"/>
            <w:tcBorders>
              <w:top w:val="none" w:color="FFFFFF" w:sz="0"/>
              <w:left w:val="single" w:color="CCCCCC" w:sz="1"/>
              <w:bottom w:val="none" w:color="FFFFFF" w:sz="0"/>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MLOps is the bridge between a notebook and a model that actually runs in production and delivers value. A data scientist who can't deploy is an analyst with extra steps.</w:t>
            </w:r>
          </w:p>
        </w:tc>
      </w:tr>
      <w:tr>
        <w:tc>
          <w:tcPr>
            <w:gridSpan w:val="3"/>
            <w:tcBorders>
              <w:top w:val="none" w:color="FFFFFF" w:sz="0"/>
              <w:left w:val="single" w:color="CCCCCC" w:sz="1"/>
              <w:bottom w:val="single" w:color="CCCCCC" w:sz="1"/>
              <w:right w:val="single" w:color="CCCCCC" w:sz="1"/>
            </w:tcBorders>
            <w:shd w:fill="FAFAFA" w:val="clear"/>
            <w:tcMar>
              <w:top w:type="dxa" w:w="80"/>
              <w:left w:type="dxa" w:w="120"/>
              <w:bottom w:type="dxa" w:w="80"/>
              <w:right w:type="dxa" w:w="120"/>
            </w:tcMar>
          </w:tcPr>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c>
                <w:tcPr>
                  <w:tcW w:type="dxa" w:w="5360"/>
                  <w:tcBorders>
                    <w:top w:val="single" w:color="CCCCCC" w:sz="1"/>
                    <w:left w:val="single" w:color="CCCCCC" w:sz="1"/>
                    <w:bottom w:val="single" w:color="CCCCCC" w:sz="1"/>
                    <w:right w:val="single" w:color="CCCCCC" w:sz="1"/>
                  </w:tcBorders>
                  <w:shd w:fill="E0F2F2" w:val="clear"/>
                  <w:tcMar>
                    <w:top w:type="dxa" w:w="60"/>
                    <w:left w:type="dxa" w:w="120"/>
                    <w:bottom w:type="dxa" w:w="60"/>
                    <w:right w:type="dxa" w:w="120"/>
                  </w:tcMar>
                </w:tcPr>
                <w:p>
                  <w:pPr>
                    <w:spacing w:before="0" w:after="0"/>
                  </w:pPr>
                  <w:r>
                    <w:rPr>
                      <w:rFonts w:ascii="Arial" w:cs="Arial" w:eastAsia="Arial" w:hAnsi="Arial"/>
                      <w:b/>
                      <w:bCs/>
                      <w:color w:val="0D6E6E"/>
                      <w:sz w:val="17"/>
                      <w:szCs w:val="17"/>
                    </w:rPr>
                    <w:t xml:space="preserve">Skill / Concept</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1 — Unaware</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2 — Aware</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3 — Developing</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4 — Proficient</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5 — Advanced</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Model serialisation and versioning — saving, loading, and tracking model versions (pickle, joblib, MLflow, Snowflake Model Registry)</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Batch scoring pipelines — running a trained model against new data on a schedule in Snowflake or Python</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Real-time vs batch inference — knowing when each is appropriate and the infrastructure difference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Model drift and monitoring — concept drift vs data drift, setting up basic monitoring, defining retraining triggers</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Snowflake ML and Model Registry — training, registering, and serving models within Snowflake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Cortex integration for model inference — using Snowflake Cortex to serve model outputs to business users</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bl>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0D6E6E"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Q45</w:t>
            </w:r>
          </w:p>
        </w:tc>
        <w:tc>
          <w:tcPr>
            <w:tcW w:type="dxa" w:w="2000"/>
            <w:tcBorders>
              <w:top w:val="single" w:color="CCCCCC" w:sz="1"/>
              <w:left w:val="none" w:color="FFFFFF" w:sz="0"/>
              <w:bottom w:val="none" w:color="FFFFFF" w:sz="0"/>
              <w:right w:val="none" w:color="FFFFFF" w:sz="0"/>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b/>
                <w:bCs/>
                <w:i/>
                <w:iCs/>
                <w:color w:val="0D6E6E"/>
                <w:sz w:val="16"/>
                <w:szCs w:val="16"/>
              </w:rPr>
              <w:t xml:space="preserve">Section 7 — Data Science Pathway</w:t>
            </w:r>
          </w:p>
        </w:tc>
      </w:tr>
      <w:tr>
        <w:tc>
          <w:tcPr>
            <w:tcW w:type="dxa" w:w="9360"/>
            <w:gridSpan w:val="3"/>
            <w:tcBorders>
              <w:top w:val="none" w:color="FFFFFF" w:sz="0"/>
              <w:left w:val="single" w:color="CCCCCC" w:sz="1"/>
              <w:bottom w:val="none" w:color="FFFFFF" w:sz="0"/>
              <w:right w:val="single" w:color="CCCCCC" w:sz="1"/>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You've built a propensity model in a Jupyter notebook that your team is using manually each month. What would need to happen to make this a production pipeline? Describe the steps.</w:t>
            </w:r>
          </w:p>
        </w:tc>
      </w:tr>
      <w:tr>
        <w:tc>
          <w:tcPr>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Think about what breaks when you're not there to run it, what happens when data changes, and how a business user would consume the output.</w:t>
            </w:r>
          </w:p>
        </w:tc>
      </w:tr>
    </w:tbl>
    <w:p>
      <w:pPr>
        <w:spacing w:before="100" w:after="0"/>
      </w:pPr>
    </w:p>
    <w:p>
      <w:pPr>
        <w:spacing w:before="200" w:after="80"/>
      </w:pPr>
      <w:r>
        <w:rPr>
          <w:rFonts w:ascii="Arial" w:cs="Arial" w:eastAsia="Arial" w:hAnsi="Arial"/>
          <w:b/>
          <w:bCs/>
          <w:color w:val="0D6E6E"/>
          <w:sz w:val="21"/>
          <w:szCs w:val="21"/>
        </w:rPr>
        <w:t xml:space="preserve">7.6  Model Uncertainty and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0D6E6E"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Q46</w:t>
            </w:r>
          </w:p>
        </w:tc>
        <w:tc>
          <w:tcPr>
            <w:tcW w:type="dxa" w:w="2000"/>
            <w:tcBorders>
              <w:top w:val="single" w:color="CCCCCC" w:sz="1"/>
              <w:left w:val="none" w:color="FFFFFF" w:sz="0"/>
              <w:bottom w:val="none" w:color="FFFFFF" w:sz="0"/>
              <w:right w:val="none" w:color="FFFFFF" w:sz="0"/>
            </w:tcBorders>
            <w:shd w:fill="E0F2F2"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RATING GRID  (1–5 scale)</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b/>
                <w:bCs/>
                <w:i/>
                <w:iCs/>
                <w:color w:val="0D6E6E"/>
                <w:sz w:val="16"/>
                <w:szCs w:val="16"/>
              </w:rPr>
              <w:t xml:space="preserve">Section 7 — Data Science Pathway</w:t>
            </w:r>
          </w:p>
        </w:tc>
      </w:tr>
      <w:tr>
        <w:tc>
          <w:tcPr>
            <w:tcW w:type="dxa" w:w="9360"/>
            <w:gridSpan w:val="3"/>
            <w:tcBorders>
              <w:top w:val="none" w:color="FFFFFF" w:sz="0"/>
              <w:left w:val="single" w:color="CCCCCC" w:sz="1"/>
              <w:bottom w:val="none" w:color="FFFFFF" w:sz="0"/>
              <w:right w:val="single" w:color="CCCCCC" w:sz="1"/>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Rate your ability to quantify and communicate model uncertainty</w:t>
            </w:r>
          </w:p>
        </w:tc>
      </w:tr>
      <w:tr>
        <w:tc>
          <w:tcPr>
            <w:gridSpan w:val="3"/>
            <w:tcBorders>
              <w:top w:val="none" w:color="FFFFFF" w:sz="0"/>
              <w:left w:val="single" w:color="CCCCCC" w:sz="1"/>
              <w:bottom w:val="single" w:color="CCCCCC" w:sz="1"/>
              <w:right w:val="single" w:color="CCCCCC" w:sz="1"/>
            </w:tcBorders>
            <w:shd w:fill="FAFAFA" w:val="clear"/>
            <w:tcMar>
              <w:top w:type="dxa" w:w="80"/>
              <w:left w:type="dxa" w:w="120"/>
              <w:bottom w:type="dxa" w:w="80"/>
              <w:right w:type="dxa" w:w="120"/>
            </w:tcMar>
          </w:tcPr>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c>
                <w:tcPr>
                  <w:tcW w:type="dxa" w:w="5360"/>
                  <w:tcBorders>
                    <w:top w:val="single" w:color="CCCCCC" w:sz="1"/>
                    <w:left w:val="single" w:color="CCCCCC" w:sz="1"/>
                    <w:bottom w:val="single" w:color="CCCCCC" w:sz="1"/>
                    <w:right w:val="single" w:color="CCCCCC" w:sz="1"/>
                  </w:tcBorders>
                  <w:shd w:fill="E0F2F2" w:val="clear"/>
                  <w:tcMar>
                    <w:top w:type="dxa" w:w="60"/>
                    <w:left w:type="dxa" w:w="120"/>
                    <w:bottom w:type="dxa" w:w="60"/>
                    <w:right w:type="dxa" w:w="120"/>
                  </w:tcMar>
                </w:tcPr>
                <w:p>
                  <w:pPr>
                    <w:spacing w:before="0" w:after="0"/>
                  </w:pPr>
                  <w:r>
                    <w:rPr>
                      <w:rFonts w:ascii="Arial" w:cs="Arial" w:eastAsia="Arial" w:hAnsi="Arial"/>
                      <w:b/>
                      <w:bCs/>
                      <w:color w:val="0D6E6E"/>
                      <w:sz w:val="17"/>
                      <w:szCs w:val="17"/>
                    </w:rPr>
                    <w:t xml:space="preserve">Skill / Concept</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1 — Unaware</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2 — Aware</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3 — Developing</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4 — Proficient</w:t>
                  </w:r>
                </w:p>
              </w:tc>
              <w:tc>
                <w:tcPr>
                  <w:tcW w:type="dxa" w:w="800"/>
                  <w:tcBorders>
                    <w:top w:val="single" w:color="CCCCCC" w:sz="1"/>
                    <w:left w:val="single" w:color="CCCCCC" w:sz="1"/>
                    <w:bottom w:val="single" w:color="CCCCCC" w:sz="1"/>
                    <w:right w:val="single" w:color="CCCCCC" w:sz="1"/>
                  </w:tcBorders>
                  <w:shd w:fill="E0F2F2" w:val="clear"/>
                  <w:tcMar>
                    <w:top w:type="dxa" w:w="60"/>
                    <w:left w:type="dxa" w:w="60"/>
                    <w:bottom w:type="dxa" w:w="60"/>
                    <w:right w:type="dxa" w:w="60"/>
                  </w:tcMar>
                </w:tcPr>
                <w:p>
                  <w:pPr>
                    <w:spacing w:before="0" w:after="0"/>
                    <w:jc w:val="center"/>
                  </w:pPr>
                  <w:r>
                    <w:rPr>
                      <w:rFonts w:ascii="Arial" w:cs="Arial" w:eastAsia="Arial" w:hAnsi="Arial"/>
                      <w:b/>
                      <w:bCs/>
                      <w:color w:val="0D6E6E"/>
                      <w:sz w:val="15"/>
                      <w:szCs w:val="15"/>
                    </w:rPr>
                    <w:t xml:space="preserve">5 — Advanced</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Prediction intervals vs confidence intervals — know the difference and when each applies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Communicating model confidence to non-technical stakeholders in business terms</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Understanding when a model's output should NOT be trusted (out-of-distribution inputs, poor training data coverage)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Explaining model decisions using SHAP values or similar to a business audience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0D6E6E"/>
                      <w:sz w:val="18"/>
                      <w:szCs w:val="18"/>
                    </w:rPr>
                    <w:t xml:space="preserve">○</w:t>
                  </w:r>
                </w:p>
              </w:tc>
            </w:tr>
          </w:tbl>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0D6E6E"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Q47</w:t>
            </w:r>
          </w:p>
        </w:tc>
        <w:tc>
          <w:tcPr>
            <w:tcW w:type="dxa" w:w="2000"/>
            <w:tcBorders>
              <w:top w:val="single" w:color="CCCCCC" w:sz="1"/>
              <w:left w:val="none" w:color="FFFFFF" w:sz="0"/>
              <w:bottom w:val="none" w:color="FFFFFF" w:sz="0"/>
              <w:right w:val="none" w:color="FFFFFF" w:sz="0"/>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b/>
                <w:bCs/>
                <w:i/>
                <w:iCs/>
                <w:color w:val="0D6E6E"/>
                <w:sz w:val="16"/>
                <w:szCs w:val="16"/>
              </w:rPr>
              <w:t xml:space="preserve">Section 7 — Data Science Pathway</w:t>
            </w:r>
          </w:p>
        </w:tc>
      </w:tr>
      <w:tr>
        <w:tc>
          <w:tcPr>
            <w:tcW w:type="dxa" w:w="9360"/>
            <w:gridSpan w:val="3"/>
            <w:tcBorders>
              <w:top w:val="none" w:color="FFFFFF" w:sz="0"/>
              <w:left w:val="single" w:color="CCCCCC" w:sz="1"/>
              <w:bottom w:val="none" w:color="FFFFFF" w:sz="0"/>
              <w:right w:val="single" w:color="CCCCCC" w:sz="1"/>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A model you built predicts that a customer has a 73% probability of churning. Your stakeholder asks: 'So we'll definitely lose nearly 3 out of 4 customers like this?' How do you respond?</w:t>
            </w:r>
          </w:p>
        </w:tc>
      </w:tr>
      <w:tr>
        <w:tc>
          <w:tcPr>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This question tests whether you can explain what a probability prediction actually means — and what it doesn't mean.</w:t>
            </w:r>
          </w:p>
        </w:tc>
      </w:tr>
    </w:tbl>
    <w:p>
      <w:pPr>
        <w:spacing w:before="100" w:after="0"/>
      </w:pPr>
    </w:p>
    <w:p>
      <w:pPr>
        <w:spacing w:before="200" w:after="80"/>
      </w:pPr>
      <w:r>
        <w:rPr>
          <w:rFonts w:ascii="Arial" w:cs="Arial" w:eastAsia="Arial" w:hAnsi="Arial"/>
          <w:b/>
          <w:bCs/>
          <w:color w:val="0D6E6E"/>
          <w:sz w:val="21"/>
          <w:szCs w:val="21"/>
        </w:rPr>
        <w:t xml:space="preserve">7.7  Data Science Reflection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0D6E6E"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Q48</w:t>
            </w:r>
          </w:p>
        </w:tc>
        <w:tc>
          <w:tcPr>
            <w:tcW w:type="dxa" w:w="2000"/>
            <w:tcBorders>
              <w:top w:val="single" w:color="CCCCCC" w:sz="1"/>
              <w:left w:val="none" w:color="FFFFFF" w:sz="0"/>
              <w:bottom w:val="none" w:color="FFFFFF" w:sz="0"/>
              <w:right w:val="none" w:color="FFFFFF" w:sz="0"/>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b/>
                <w:bCs/>
                <w:i/>
                <w:iCs/>
                <w:color w:val="0D6E6E"/>
                <w:sz w:val="16"/>
                <w:szCs w:val="16"/>
              </w:rPr>
              <w:t xml:space="preserve">Section 7 — Data Science Pathway</w:t>
            </w:r>
          </w:p>
        </w:tc>
      </w:tr>
      <w:tr>
        <w:tc>
          <w:tcPr>
            <w:tcW w:type="dxa" w:w="9360"/>
            <w:gridSpan w:val="3"/>
            <w:tcBorders>
              <w:top w:val="none" w:color="FFFFFF" w:sz="0"/>
              <w:left w:val="single" w:color="CCCCCC" w:sz="1"/>
              <w:bottom w:val="none" w:color="FFFFFF" w:sz="0"/>
              <w:right w:val="single" w:color="CCCCCC" w:sz="1"/>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What do you think is the single biggest gap between where you are now and where a junior data scientist needs to be? Be honest.</w:t>
            </w:r>
          </w:p>
        </w:tc>
      </w:tr>
      <w:tr>
        <w:tc>
          <w:tcPr>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Your self-awareness here is more useful than any rating. This shapes your IDLP directly.</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0D6E6E"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Q49</w:t>
            </w:r>
          </w:p>
        </w:tc>
        <w:tc>
          <w:tcPr>
            <w:tcW w:type="dxa" w:w="2000"/>
            <w:tcBorders>
              <w:top w:val="single" w:color="CCCCCC" w:sz="1"/>
              <w:left w:val="none" w:color="FFFFFF" w:sz="0"/>
              <w:bottom w:val="none" w:color="FFFFFF" w:sz="0"/>
              <w:right w:val="none" w:color="FFFFFF" w:sz="0"/>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b/>
                <w:bCs/>
                <w:i/>
                <w:iCs/>
                <w:color w:val="0D6E6E"/>
                <w:sz w:val="16"/>
                <w:szCs w:val="16"/>
              </w:rPr>
              <w:t xml:space="preserve">Section 7 — Data Science Pathway</w:t>
            </w:r>
          </w:p>
        </w:tc>
      </w:tr>
      <w:tr>
        <w:tc>
          <w:tcPr>
            <w:tcW w:type="dxa" w:w="9360"/>
            <w:gridSpan w:val="3"/>
            <w:tcBorders>
              <w:top w:val="none" w:color="FFFFFF" w:sz="0"/>
              <w:left w:val="single" w:color="CCCCCC" w:sz="1"/>
              <w:bottom w:val="none" w:color="FFFFFF" w:sz="0"/>
              <w:right w:val="single" w:color="CCCCCC" w:sz="1"/>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Is there a data science technique, concept, or project type you are genuinely curious about and would like to work on in the next 12 months?</w:t>
            </w:r>
          </w:p>
        </w:tc>
      </w:tr>
      <w:tr>
        <w:tc>
          <w:tcPr>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Curiosity is a strong predictor of learning velocity. Tell us what excites you.</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0D6E6E"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Q50</w:t>
            </w:r>
          </w:p>
        </w:tc>
        <w:tc>
          <w:tcPr>
            <w:tcW w:type="dxa" w:w="2000"/>
            <w:tcBorders>
              <w:top w:val="single" w:color="CCCCCC" w:sz="1"/>
              <w:left w:val="none" w:color="FFFFFF" w:sz="0"/>
              <w:bottom w:val="none" w:color="FFFFFF" w:sz="0"/>
              <w:right w:val="none" w:color="FFFFFF" w:sz="0"/>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b/>
                <w:bCs/>
                <w:i/>
                <w:iCs/>
                <w:color w:val="0D6E6E"/>
                <w:sz w:val="16"/>
                <w:szCs w:val="16"/>
              </w:rPr>
              <w:t xml:space="preserve">Section 7 — Data Science Pathway</w:t>
            </w:r>
          </w:p>
        </w:tc>
      </w:tr>
      <w:tr>
        <w:tc>
          <w:tcPr>
            <w:tcW w:type="dxa" w:w="9360"/>
            <w:gridSpan w:val="3"/>
            <w:tcBorders>
              <w:top w:val="none" w:color="FFFFFF" w:sz="0"/>
              <w:left w:val="single" w:color="CCCCCC" w:sz="1"/>
              <w:bottom w:val="none" w:color="FFFFFF" w:sz="0"/>
              <w:right w:val="single" w:color="CCCCCC" w:sz="1"/>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Do you have any formal data science training, certifications, or academic background (e.g. Masters, Coursera specialisation, Kaggle competitions) that is not reflected in your current role title?</w:t>
            </w:r>
          </w:p>
        </w:tc>
      </w:tr>
      <w:tr>
        <w:tc>
          <w:tcPr>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This is important — your title may not reflect your actual capability. Be specific.</w:t>
            </w:r>
          </w:p>
        </w:tc>
      </w:tr>
    </w:tbl>
    <w:p>
      <w:pPr>
        <w:spacing w:before="100" w:after="0"/>
      </w:pP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6E6E" w:val="clear"/>
            <w:tcMar>
              <w:top w:type="dxa" w:w="200"/>
              <w:left w:type="dxa" w:w="300"/>
              <w:bottom w:type="dxa" w:w="200"/>
              <w:right w:type="dxa" w:w="300"/>
            </w:tcMar>
          </w:tcPr>
          <w:p>
            <w:pPr>
              <w:spacing w:before="0" w:after="80"/>
            </w:pPr>
            <w:r>
              <w:rPr>
                <w:rFonts w:ascii="Arial" w:cs="Arial" w:eastAsia="Arial" w:hAnsi="Arial"/>
                <w:b/>
                <w:bCs/>
                <w:color w:val="88CCCC"/>
                <w:sz w:val="22"/>
                <w:szCs w:val="22"/>
              </w:rPr>
              <w:t xml:space="preserve">SECTION 7 — ANCHOR REFERENCE</w:t>
            </w:r>
          </w:p>
          <w:p>
            <w:pPr>
              <w:spacing w:before="0" w:after="60"/>
            </w:pPr>
            <w:r>
              <w:rPr>
                <w:rFonts w:ascii="Arial" w:cs="Arial" w:eastAsia="Arial" w:hAnsi="Arial"/>
                <w:b/>
                <w:bCs/>
                <w:color w:val="FFFFFF"/>
                <w:sz w:val="34"/>
                <w:szCs w:val="34"/>
              </w:rPr>
              <w:t xml:space="preserve">Data Science Pathway — Behavioural Anchors</w:t>
            </w:r>
          </w:p>
          <w:p>
            <w:pPr>
              <w:spacing w:before="0" w:after="0"/>
            </w:pPr>
            <w:r>
              <w:rPr>
                <w:rFonts w:ascii="Arial" w:cs="Arial" w:eastAsia="Arial" w:hAnsi="Arial"/>
                <w:i/>
                <w:iCs/>
                <w:color w:val="AADDDD"/>
                <w:sz w:val="18"/>
                <w:szCs w:val="18"/>
              </w:rPr>
              <w:t xml:space="preserve">What 'Junior DS Ready' looks like at each level — share with analysts before they self-assess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2F2" w:val="clear"/>
            <w:tcMar>
              <w:top w:type="dxa" w:w="120"/>
              <w:left w:type="dxa" w:w="200"/>
              <w:bottom w:type="dxa" w:w="120"/>
              <w:right w:type="dxa" w:w="200"/>
            </w:tcMar>
          </w:tcPr>
          <w:p>
            <w:pPr>
              <w:spacing w:before="0" w:after="60"/>
            </w:pPr>
            <w:r>
              <w:rPr>
                <w:rFonts w:ascii="Arial" w:cs="Arial" w:eastAsia="Arial" w:hAnsi="Arial"/>
                <w:b/>
                <w:bCs/>
                <w:color w:val="0D6E6E"/>
                <w:sz w:val="18"/>
                <w:szCs w:val="18"/>
              </w:rPr>
              <w:t xml:space="preserve">What 'Junior DS Ready' (Level 4) means in this context:</w:t>
            </w:r>
          </w:p>
          <w:p>
            <w:pPr>
              <w:spacing w:before="0" w:after="0"/>
            </w:pPr>
            <w:r>
              <w:rPr>
                <w:rFonts w:ascii="Arial" w:cs="Arial" w:eastAsia="Arial" w:hAnsi="Arial"/>
                <w:color w:val="1A4A4A"/>
                <w:sz w:val="17"/>
                <w:szCs w:val="17"/>
              </w:rPr>
              <w:t xml:space="preserve">The analyst can independently frame a business problem as an ML problem, select and justify an appropriate technique, build a feature pipeline without leakage, train and evaluate a model with rigorous metrics, deploy it as a batch scoring pipeline in Snowflake, monitor it for drift, and explain the output — including its uncertainty — to a non-technical stakeholder. They do not need to be supervised for these steps.</w:t>
            </w:r>
          </w:p>
        </w:tc>
      </w:tr>
    </w:tbl>
    <w:p>
      <w:pPr>
        <w:spacing w:before="120" w:after="0"/>
      </w:pPr>
    </w:p>
    <w:p>
      <w:pPr>
        <w:pStyle w:val="Heading2"/>
        <w:spacing w:before="300" w:after="120"/>
      </w:pPr>
      <w:r>
        <w:rPr>
          <w:rFonts w:ascii="Arial" w:cs="Arial" w:eastAsia="Arial" w:hAnsi="Arial"/>
          <w:b/>
          <w:bCs/>
          <w:color w:val="0D6E6E"/>
          <w:sz w:val="26"/>
          <w:szCs w:val="26"/>
        </w:rPr>
        <w:t xml:space="preserve">Mathematical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520"/>
        <w:gridCol w:w="1520"/>
        <w:gridCol w:w="1520"/>
        <w:gridCol w:w="1520"/>
        <w:gridCol w:w="1520"/>
      </w:tblGrid>
      <w:tr>
        <w:trPr>
          <w:tblHeader/>
        </w:trPr>
        <w:tc>
          <w:tcPr>
            <w:tcW w:type="dxa" w:w="176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Concept</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b/>
                <w:bCs/>
                <w:color w:val="999999"/>
                <w:sz w:val="15"/>
                <w:szCs w:val="15"/>
              </w:rPr>
              <w:t xml:space="preserve">1 — Unaware</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b/>
                <w:bCs/>
                <w:color w:val="1A5C5C"/>
                <w:sz w:val="15"/>
                <w:szCs w:val="15"/>
              </w:rPr>
              <w:t xml:space="preserve">2 — Aware</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b/>
                <w:bCs/>
                <w:color w:val="0D4A4A"/>
                <w:sz w:val="15"/>
                <w:szCs w:val="15"/>
              </w:rPr>
              <w:t xml:space="preserve">3 — Developing</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b/>
                <w:bCs/>
                <w:color w:val="073535"/>
                <w:sz w:val="15"/>
                <w:szCs w:val="15"/>
              </w:rPr>
              <w:t xml:space="preserve">4 — Proficient</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b/>
                <w:bCs/>
                <w:color w:val="FFFFFF"/>
                <w:sz w:val="15"/>
                <w:szCs w:val="15"/>
              </w:rPr>
              <w:t xml:space="preserve">5 — Advanced (Jr DS Ready)</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Linear Algebra Basics</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color w:val="999999"/>
                <w:sz w:val="15"/>
                <w:szCs w:val="15"/>
              </w:rPr>
              <w:t xml:space="preserve">Not familiar with matrices or vectors.</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color w:val="1A5C5C"/>
                <w:sz w:val="15"/>
                <w:szCs w:val="15"/>
              </w:rPr>
              <w:t xml:space="preserve">Knows matrices and vectors exist. Has seen dot product notation.</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color w:val="0D4A4A"/>
                <w:sz w:val="15"/>
                <w:szCs w:val="15"/>
              </w:rPr>
              <w:t xml:space="preserve">Understands matrix multiplication, transpose, and how weights are represented in a model. Can follow a worked example.</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color w:val="073535"/>
                <w:sz w:val="15"/>
                <w:szCs w:val="15"/>
              </w:rPr>
              <w:t xml:space="preserve">Can derive why matrix operations underpin regression and neural network forward passes. Comfortable with eigenvalues conceptually.</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color w:val="FFFFFF"/>
                <w:sz w:val="15"/>
                <w:szCs w:val="15"/>
              </w:rPr>
              <w:t xml:space="preserve">Uses linear algebra fluently to understand and debug model architectures. Can explain the geometry of model decisions to peers.</w:t>
            </w:r>
          </w:p>
        </w:tc>
      </w:tr>
      <w:tr>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Calculus &amp; Gradients</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color w:val="999999"/>
                <w:sz w:val="15"/>
                <w:szCs w:val="15"/>
              </w:rPr>
              <w:t xml:space="preserve">No calculus knowledge.</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color w:val="1A5C5C"/>
                <w:sz w:val="15"/>
                <w:szCs w:val="15"/>
              </w:rPr>
              <w:t xml:space="preserve">Knows derivatives measure rate of change. Has heard of gradient descent.</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color w:val="0D4A4A"/>
                <w:sz w:val="15"/>
                <w:szCs w:val="15"/>
              </w:rPr>
              <w:t xml:space="preserve">Understands gradient descent conceptually — why we move in the direction of the negative gradient to minimise a loss function.</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color w:val="073535"/>
                <w:sz w:val="15"/>
                <w:szCs w:val="15"/>
              </w:rPr>
              <w:t xml:space="preserve">Can explain backpropagation at a conceptual level. Understands learning rate, vanishing gradients, and why they matter for model training.</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color w:val="FFFFFF"/>
                <w:sz w:val="15"/>
                <w:szCs w:val="15"/>
              </w:rPr>
              <w:t xml:space="preserve">Derives loss functions and understands optimisation trade-offs. Can explain why Adam outperforms SGD in certain conditions.</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Probability Theory</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color w:val="999999"/>
                <w:sz w:val="15"/>
                <w:szCs w:val="15"/>
              </w:rPr>
              <w:t xml:space="preserve">Probability limited to basic percentages.</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color w:val="1A5C5C"/>
                <w:sz w:val="15"/>
                <w:szCs w:val="15"/>
              </w:rPr>
              <w:t xml:space="preserve">Understands conditional probability conceptually. Has heard of Bayes' theorem.</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color w:val="0D4A4A"/>
                <w:sz w:val="15"/>
                <w:szCs w:val="15"/>
              </w:rPr>
              <w:t xml:space="preserve">Can apply Bayes' theorem to a simple problem. Understands prior, likelihood, and posterior at a conceptual level.</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color w:val="073535"/>
                <w:sz w:val="15"/>
                <w:szCs w:val="15"/>
              </w:rPr>
              <w:t xml:space="preserve">Applies probability distributions to model assumptions. Understands MLE vs MAP estimation. Can explain why logistic regression outputs probabilities.</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color w:val="FFFFFF"/>
                <w:sz w:val="15"/>
                <w:szCs w:val="15"/>
              </w:rPr>
              <w:t xml:space="preserve">Designs probabilistic models. Understands uncertainty quantification and communicates prediction intervals to stakeholders.</w:t>
            </w:r>
          </w:p>
        </w:tc>
      </w:tr>
      <w:tr>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Loss Functions</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color w:val="999999"/>
                <w:sz w:val="15"/>
                <w:szCs w:val="15"/>
              </w:rPr>
              <w:t xml:space="preserve">Not aware of loss functions.</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color w:val="1A5C5C"/>
                <w:sz w:val="15"/>
                <w:szCs w:val="15"/>
              </w:rPr>
              <w:t xml:space="preserve">Knows a model is trained to minimise something — not sure what.</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color w:val="0D4A4A"/>
                <w:sz w:val="15"/>
                <w:szCs w:val="15"/>
              </w:rPr>
              <w:t xml:space="preserve">Understands MSE for regression and cross-entropy for classification. Knows these measure how wrong the model is.</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color w:val="073535"/>
                <w:sz w:val="15"/>
                <w:szCs w:val="15"/>
              </w:rPr>
              <w:t xml:space="preserve">Selects loss functions based on problem type and business cost of errors. Understands why class imbalance distorts cross-entropy and how to compensate.</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color w:val="FFFFFF"/>
                <w:sz w:val="15"/>
                <w:szCs w:val="15"/>
              </w:rPr>
              <w:t xml:space="preserve">Designs custom loss functions for business constraints (e.g. asymmetric cost of false positives vs false negatives in insurance).</w:t>
            </w:r>
          </w:p>
        </w:tc>
      </w:tr>
    </w:tbl>
    <w:p>
      <w:pPr>
        <w:spacing w:before="80" w:after="0"/>
      </w:pPr>
    </w:p>
    <w:p>
      <w:pPr>
        <w:spacing w:before="40" w:after="0"/>
      </w:pPr>
    </w:p>
    <w:p>
      <w:pPr>
        <w:pStyle w:val="Heading2"/>
        <w:spacing w:before="300" w:after="120"/>
      </w:pPr>
      <w:r>
        <w:rPr>
          <w:rFonts w:ascii="Arial" w:cs="Arial" w:eastAsia="Arial" w:hAnsi="Arial"/>
          <w:b/>
          <w:bCs/>
          <w:color w:val="0D6E6E"/>
          <w:sz w:val="26"/>
          <w:szCs w:val="26"/>
        </w:rPr>
        <w:t xml:space="preserve">Model Selection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520"/>
        <w:gridCol w:w="1520"/>
        <w:gridCol w:w="1520"/>
        <w:gridCol w:w="1520"/>
        <w:gridCol w:w="1520"/>
      </w:tblGrid>
      <w:tr>
        <w:trPr>
          <w:tblHeader/>
        </w:trPr>
        <w:tc>
          <w:tcPr>
            <w:tcW w:type="dxa" w:w="176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Concept</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b/>
                <w:bCs/>
                <w:color w:val="999999"/>
                <w:sz w:val="15"/>
                <w:szCs w:val="15"/>
              </w:rPr>
              <w:t xml:space="preserve">1 — Unaware</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b/>
                <w:bCs/>
                <w:color w:val="1A5C5C"/>
                <w:sz w:val="15"/>
                <w:szCs w:val="15"/>
              </w:rPr>
              <w:t xml:space="preserve">2 — Aware</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b/>
                <w:bCs/>
                <w:color w:val="0D4A4A"/>
                <w:sz w:val="15"/>
                <w:szCs w:val="15"/>
              </w:rPr>
              <w:t xml:space="preserve">3 — Developing</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b/>
                <w:bCs/>
                <w:color w:val="073535"/>
                <w:sz w:val="15"/>
                <w:szCs w:val="15"/>
              </w:rPr>
              <w:t xml:space="preserve">4 — Proficient</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b/>
                <w:bCs/>
                <w:color w:val="FFFFFF"/>
                <w:sz w:val="15"/>
                <w:szCs w:val="15"/>
              </w:rPr>
              <w:t xml:space="preserve">5 — Advanced (Jr DS Ready)</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Problem Framing</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color w:val="999999"/>
                <w:sz w:val="15"/>
                <w:szCs w:val="15"/>
              </w:rPr>
              <w:t xml:space="preserve">Takes the stated question at face value — no reframing.</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color w:val="1A5C5C"/>
                <w:sz w:val="15"/>
                <w:szCs w:val="15"/>
              </w:rPr>
              <w:t xml:space="preserve">Recognises some questions can be answered multiple ways analytically.</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color w:val="0D4A4A"/>
                <w:sz w:val="15"/>
                <w:szCs w:val="15"/>
              </w:rPr>
              <w:t xml:space="preserve">Can translate a business question into a supervised/unsupervised framing with guidance. Asks whether the outcome variable is defined.</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color w:val="073535"/>
                <w:sz w:val="15"/>
                <w:szCs w:val="15"/>
              </w:rPr>
              <w:t xml:space="preserve">Independently frames ambiguous business problems into a concrete ML problem statement. Defines the target, features, and success metric before touching data.</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color w:val="FFFFFF"/>
                <w:sz w:val="15"/>
                <w:szCs w:val="15"/>
              </w:rPr>
              <w:t xml:space="preserve">Challenges poor problem framing upstream. Identifies when ML is the wrong tool and when a simpler statistical model or rule-based system is better.</w:t>
            </w:r>
          </w:p>
        </w:tc>
      </w:tr>
      <w:tr>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Algorithm Selection</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color w:val="999999"/>
                <w:sz w:val="15"/>
                <w:szCs w:val="15"/>
              </w:rPr>
              <w:t xml:space="preserve">Defaults to one algorithm for everything (usually regression or whatever was taught first).</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color w:val="1A5C5C"/>
                <w:sz w:val="15"/>
                <w:szCs w:val="15"/>
              </w:rPr>
              <w:t xml:space="preserve">Knows multiple algorithms exist. Chooses based on familiarity rather than fit.</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color w:val="0D4A4A"/>
                <w:sz w:val="15"/>
                <w:szCs w:val="15"/>
              </w:rPr>
              <w:t xml:space="preserve">Uses a basic decision framework: regression for continuous, classification for categories, clustering for grouping. Needs guidance on edge cases.</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color w:val="073535"/>
                <w:sz w:val="15"/>
                <w:szCs w:val="15"/>
              </w:rPr>
              <w:t xml:space="preserve">Selects algorithms based on data size, interpretability requirements, feature types, and computational constraints. Knows when XGBoost vs logistic regression is the right call and can justify it.</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color w:val="FFFFFF"/>
                <w:sz w:val="15"/>
                <w:szCs w:val="15"/>
              </w:rPr>
              <w:t xml:space="preserve">Designs algorithm selection frameworks for the team. Knows niche algorithms for specific insurance/financial use cases (survival models, Tweedie regression, ordinal classification).</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Interpretability vs Performance</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color w:val="999999"/>
                <w:sz w:val="15"/>
                <w:szCs w:val="15"/>
              </w:rPr>
              <w:t xml:space="preserve">Not aware this is a trade-off.</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color w:val="1A5C5C"/>
                <w:sz w:val="15"/>
                <w:szCs w:val="15"/>
              </w:rPr>
              <w:t xml:space="preserve">Knows some models are 'black boxes'. Has heard of SHAP or LIME.</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color w:val="0D4A4A"/>
                <w:sz w:val="15"/>
                <w:szCs w:val="15"/>
              </w:rPr>
              <w:t xml:space="preserve">Understands the interpretability-performance spectrum. Chooses interpretable models when stakeholder explanation is required with guidance.</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color w:val="073535"/>
                <w:sz w:val="15"/>
                <w:szCs w:val="15"/>
              </w:rPr>
              <w:t xml:space="preserve">Independently balances interpretability and performance. Uses SHAP values to explain complex models. Knows when a regulated environment (insurance) requires interpretable models over black-box ones.</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color w:val="FFFFFF"/>
                <w:sz w:val="15"/>
                <w:szCs w:val="15"/>
              </w:rPr>
              <w:t xml:space="preserve">Defines the team's interpretability standards for regulated use cases. Reviews others' model choices for compliance and explainability risk.</w:t>
            </w:r>
          </w:p>
        </w:tc>
      </w:tr>
      <w:tr>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Baseline Modelling</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color w:val="999999"/>
                <w:sz w:val="15"/>
                <w:szCs w:val="15"/>
              </w:rPr>
              <w:t xml:space="preserve">Jumps straight to a complex model.</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color w:val="1A5C5C"/>
                <w:sz w:val="15"/>
                <w:szCs w:val="15"/>
              </w:rPr>
              <w:t xml:space="preserve">Knows a baseline is a simple comparison point — not sure how to build one.</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color w:val="0D4A4A"/>
                <w:sz w:val="15"/>
                <w:szCs w:val="15"/>
              </w:rPr>
              <w:t xml:space="preserve">Builds a basic baseline (e.g. mean prediction, majority class) with guidance before running a complex model.</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color w:val="073535"/>
                <w:sz w:val="15"/>
                <w:szCs w:val="15"/>
              </w:rPr>
              <w:t xml:space="preserve">Always establishes a meaningful baseline before modelling. Can explain how much lift a complex model provides over the baseline and whether it justifies the complexity cost.</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color w:val="FFFFFF"/>
                <w:sz w:val="15"/>
                <w:szCs w:val="15"/>
              </w:rPr>
              <w:t xml:space="preserve">Defines baseline standards for the team. Challenges unnecessary complexity. Communicates lift in business value terms to stakeholders.</w:t>
            </w:r>
          </w:p>
        </w:tc>
      </w:tr>
    </w:tbl>
    <w:p>
      <w:pPr>
        <w:spacing w:before="80" w:after="0"/>
      </w:pPr>
    </w:p>
    <w:p>
      <w:pPr>
        <w:spacing w:before="40" w:after="0"/>
      </w:pPr>
    </w:p>
    <w:p>
      <w:pPr>
        <w:pStyle w:val="Heading2"/>
        <w:spacing w:before="300" w:after="120"/>
      </w:pPr>
      <w:r>
        <w:rPr>
          <w:rFonts w:ascii="Arial" w:cs="Arial" w:eastAsia="Arial" w:hAnsi="Arial"/>
          <w:b/>
          <w:bCs/>
          <w:color w:val="0D6E6E"/>
          <w:sz w:val="26"/>
          <w:szCs w:val="26"/>
        </w:rPr>
        <w:t xml:space="preserve">Feature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520"/>
        <w:gridCol w:w="1520"/>
        <w:gridCol w:w="1520"/>
        <w:gridCol w:w="1520"/>
        <w:gridCol w:w="1520"/>
      </w:tblGrid>
      <w:tr>
        <w:trPr>
          <w:tblHeader/>
        </w:trPr>
        <w:tc>
          <w:tcPr>
            <w:tcW w:type="dxa" w:w="176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Concept</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b/>
                <w:bCs/>
                <w:color w:val="999999"/>
                <w:sz w:val="15"/>
                <w:szCs w:val="15"/>
              </w:rPr>
              <w:t xml:space="preserve">1 — Unaware</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b/>
                <w:bCs/>
                <w:color w:val="1A5C5C"/>
                <w:sz w:val="15"/>
                <w:szCs w:val="15"/>
              </w:rPr>
              <w:t xml:space="preserve">2 — Aware</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b/>
                <w:bCs/>
                <w:color w:val="0D4A4A"/>
                <w:sz w:val="15"/>
                <w:szCs w:val="15"/>
              </w:rPr>
              <w:t xml:space="preserve">3 — Developing</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b/>
                <w:bCs/>
                <w:color w:val="073535"/>
                <w:sz w:val="15"/>
                <w:szCs w:val="15"/>
              </w:rPr>
              <w:t xml:space="preserve">4 — Proficient</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b/>
                <w:bCs/>
                <w:color w:val="FFFFFF"/>
                <w:sz w:val="15"/>
                <w:szCs w:val="15"/>
              </w:rPr>
              <w:t xml:space="preserve">5 — Advanced (Jr DS Ready)</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Encoding Strategies</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color w:val="999999"/>
                <w:sz w:val="15"/>
                <w:szCs w:val="15"/>
              </w:rPr>
              <w:t xml:space="preserve">Not aware that categorical variables need encoding.</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color w:val="1A5C5C"/>
                <w:sz w:val="15"/>
                <w:szCs w:val="15"/>
              </w:rPr>
              <w:t xml:space="preserve">Knows one-hot encoding exists. Has applied it without understanding why.</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color w:val="0D4A4A"/>
                <w:sz w:val="15"/>
                <w:szCs w:val="15"/>
              </w:rPr>
              <w:t xml:space="preserve">Applies one-hot, label, and ordinal encoding appropriately with guidance. Knows when high-cardinality categories are a problem.</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color w:val="073535"/>
                <w:sz w:val="15"/>
                <w:szCs w:val="15"/>
              </w:rPr>
              <w:t xml:space="preserve">Independently selects encoding strategies based on cardinality, model type, and target leakage risk. Uses target encoding with cross-validation folds to prevent leakage.</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color w:val="FFFFFF"/>
                <w:sz w:val="15"/>
                <w:szCs w:val="15"/>
              </w:rPr>
              <w:t xml:space="preserve">Designs encoding pipelines for production. Catches target leakage in others' feature engineering. Knows when embeddings outperform encoding for high-cardinality text features.</w:t>
            </w:r>
          </w:p>
        </w:tc>
      </w:tr>
      <w:tr>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Handling Skew &amp; Outliers</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color w:val="999999"/>
                <w:sz w:val="15"/>
                <w:szCs w:val="15"/>
              </w:rPr>
              <w:t xml:space="preserve">Not aware of skew or outlier impact on models.</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color w:val="1A5C5C"/>
                <w:sz w:val="15"/>
                <w:szCs w:val="15"/>
              </w:rPr>
              <w:t xml:space="preserve">Knows outliers exist. Has removed them without checking their validity.</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color w:val="0D4A4A"/>
                <w:sz w:val="15"/>
                <w:szCs w:val="15"/>
              </w:rPr>
              <w:t xml:space="preserve">Applies log transforms or winsorisation with guidance. Checks whether outliers are data errors vs genuine extreme values.</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color w:val="073535"/>
                <w:sz w:val="15"/>
                <w:szCs w:val="15"/>
              </w:rPr>
              <w:t xml:space="preserve">Independently diagnoses skew impact on model assumptions. Selects transformations based on the model type (tree-based models don't need normality; linear models do).</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color w:val="FFFFFF"/>
                <w:sz w:val="15"/>
                <w:szCs w:val="15"/>
              </w:rPr>
              <w:t xml:space="preserve">Defines feature transformation standards for the team. Catches inappropriate normalisation or leaky transforms in PR reviews.</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Feature Selection</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color w:val="999999"/>
                <w:sz w:val="15"/>
                <w:szCs w:val="15"/>
              </w:rPr>
              <w:t xml:space="preserve">Includes all available features without selection.</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color w:val="1A5C5C"/>
                <w:sz w:val="15"/>
                <w:szCs w:val="15"/>
              </w:rPr>
              <w:t xml:space="preserve">Knows too many features can hurt model performance. Has heard of feature importance.</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color w:val="0D4A4A"/>
                <w:sz w:val="15"/>
                <w:szCs w:val="15"/>
              </w:rPr>
              <w:t xml:space="preserve">Applies basic filter methods (correlation, variance threshold) or uses feature importance from a tree model with guidance.</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color w:val="073535"/>
                <w:sz w:val="15"/>
                <w:szCs w:val="15"/>
              </w:rPr>
              <w:t xml:space="preserve">Uses wrapper methods, SHAP-based selection, and regularisation (L1/L2) to select features. Understands the bias-variance impact of feature count.</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color w:val="FFFFFF"/>
                <w:sz w:val="15"/>
                <w:szCs w:val="15"/>
              </w:rPr>
              <w:t xml:space="preserve">Designs feature selection pipelines for production. Balances feature engineering complexity against maintenance cost. Reviews others' feature sets for leakage and redundancy.</w:t>
            </w:r>
          </w:p>
        </w:tc>
      </w:tr>
      <w:tr>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Target Leakage</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color w:val="999999"/>
                <w:sz w:val="15"/>
                <w:szCs w:val="15"/>
              </w:rPr>
              <w:t xml:space="preserve">Not aware target leakage exists.</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color w:val="1A5C5C"/>
                <w:sz w:val="15"/>
                <w:szCs w:val="15"/>
              </w:rPr>
              <w:t xml:space="preserve">Has heard of data leakage. Not sure how to detect it.</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color w:val="0D4A4A"/>
                <w:sz w:val="15"/>
                <w:szCs w:val="15"/>
              </w:rPr>
              <w:t xml:space="preserve">Can identify obvious leakage (e.g. including the target in features) with guidance. Understands train/test split must happen before any transformation.</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color w:val="073535"/>
                <w:sz w:val="15"/>
                <w:szCs w:val="15"/>
              </w:rPr>
              <w:t xml:space="preserve">Independently audits feature sets for subtle leakage (e.g. aggregates computed on full dataset, time-dependent features). Catches leakage in peer reviews.</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color w:val="FFFFFF"/>
                <w:sz w:val="15"/>
                <w:szCs w:val="15"/>
              </w:rPr>
              <w:t xml:space="preserve">Defines the team's anti-leakage standards. Has caught leakage that inflated model metrics significantly. Teaches leakage patterns to juniors as case studies.</w:t>
            </w:r>
          </w:p>
        </w:tc>
      </w:tr>
    </w:tbl>
    <w:p>
      <w:pPr>
        <w:spacing w:before="80" w:after="0"/>
      </w:pPr>
    </w:p>
    <w:p>
      <w:pPr>
        <w:spacing w:before="40" w:after="0"/>
      </w:pPr>
    </w:p>
    <w:p>
      <w:pPr>
        <w:pStyle w:val="Heading2"/>
        <w:spacing w:before="300" w:after="120"/>
      </w:pPr>
      <w:r>
        <w:rPr>
          <w:rFonts w:ascii="Arial" w:cs="Arial" w:eastAsia="Arial" w:hAnsi="Arial"/>
          <w:b/>
          <w:bCs/>
          <w:color w:val="0D6E6E"/>
          <w:sz w:val="26"/>
          <w:szCs w:val="26"/>
        </w:rPr>
        <w:t xml:space="preserve">Experiment Design &amp; Causal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520"/>
        <w:gridCol w:w="1520"/>
        <w:gridCol w:w="1520"/>
        <w:gridCol w:w="1520"/>
        <w:gridCol w:w="1520"/>
      </w:tblGrid>
      <w:tr>
        <w:trPr>
          <w:tblHeader/>
        </w:trPr>
        <w:tc>
          <w:tcPr>
            <w:tcW w:type="dxa" w:w="176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Concept</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b/>
                <w:bCs/>
                <w:color w:val="999999"/>
                <w:sz w:val="15"/>
                <w:szCs w:val="15"/>
              </w:rPr>
              <w:t xml:space="preserve">1 — Unaware</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b/>
                <w:bCs/>
                <w:color w:val="1A5C5C"/>
                <w:sz w:val="15"/>
                <w:szCs w:val="15"/>
              </w:rPr>
              <w:t xml:space="preserve">2 — Aware</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b/>
                <w:bCs/>
                <w:color w:val="0D4A4A"/>
                <w:sz w:val="15"/>
                <w:szCs w:val="15"/>
              </w:rPr>
              <w:t xml:space="preserve">3 — Developing</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b/>
                <w:bCs/>
                <w:color w:val="073535"/>
                <w:sz w:val="15"/>
                <w:szCs w:val="15"/>
              </w:rPr>
              <w:t xml:space="preserve">4 — Proficient</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b/>
                <w:bCs/>
                <w:color w:val="FFFFFF"/>
                <w:sz w:val="15"/>
                <w:szCs w:val="15"/>
              </w:rPr>
              <w:t xml:space="preserve">5 — Advanced (Jr DS Ready)</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Experiment Design</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color w:val="999999"/>
                <w:sz w:val="15"/>
                <w:szCs w:val="15"/>
              </w:rPr>
              <w:t xml:space="preserve">No experience designing experiments.</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color w:val="1A5C5C"/>
                <w:sz w:val="15"/>
                <w:szCs w:val="15"/>
              </w:rPr>
              <w:t xml:space="preserve">Knows A/B testing involves splitting users into groups. Has read test results but not designed one.</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color w:val="0D4A4A"/>
                <w:sz w:val="15"/>
                <w:szCs w:val="15"/>
              </w:rPr>
              <w:t xml:space="preserve">Can set up a basic A/B test with guidance. Understands control vs treatment group. Knows the test runs until significance.</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color w:val="073535"/>
                <w:sz w:val="15"/>
                <w:szCs w:val="15"/>
              </w:rPr>
              <w:t xml:space="preserve">Independently designs experiments: defines hypothesis, selects metric, calculates sample size, controls for confounders, and manages multiple comparison risk.</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color w:val="FFFFFF"/>
                <w:sz w:val="15"/>
                <w:szCs w:val="15"/>
              </w:rPr>
              <w:t xml:space="preserve">Designs the team's experimentation framework. Reviews test designs for validity. Identifies when a test is underpowered before it runs, not after.</w:t>
            </w:r>
          </w:p>
        </w:tc>
      </w:tr>
      <w:tr>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Sample Size &amp; Power</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color w:val="999999"/>
                <w:sz w:val="15"/>
                <w:szCs w:val="15"/>
              </w:rPr>
              <w:t xml:space="preserve">Not aware sample size needs to be calculated.</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color w:val="1A5C5C"/>
                <w:sz w:val="15"/>
                <w:szCs w:val="15"/>
              </w:rPr>
              <w:t xml:space="preserve">Knows small samples are less reliable. Has heard of statistical power.</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color w:val="0D4A4A"/>
                <w:sz w:val="15"/>
                <w:szCs w:val="15"/>
              </w:rPr>
              <w:t xml:space="preserve">Can run a power calculation with guidance using a tool or formula. Understands the relationship between effect size, sample size, and power.</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color w:val="073535"/>
                <w:sz w:val="15"/>
                <w:szCs w:val="15"/>
              </w:rPr>
              <w:t xml:space="preserve">Independently calculates required sample sizes for business experiments. Adjusts for multiple testing, stratified randomisation, and minimum detectable effect based on business context.</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color w:val="FFFFFF"/>
                <w:sz w:val="15"/>
                <w:szCs w:val="15"/>
              </w:rPr>
              <w:t xml:space="preserve">Defines power standards for the team. Challenges underpowered tests before they run. Explains power concepts in business terms to stakeholders who want results faster.</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Causal Inference</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color w:val="999999"/>
                <w:sz w:val="15"/>
                <w:szCs w:val="15"/>
              </w:rPr>
              <w:t xml:space="preserve">Not familiar with causal inference.</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color w:val="1A5C5C"/>
                <w:sz w:val="15"/>
                <w:szCs w:val="15"/>
              </w:rPr>
              <w:t xml:space="preserve">Knows correlation is not causation. Has repeated this without being able to demonstrate it analytically.</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color w:val="0D4A4A"/>
                <w:sz w:val="15"/>
                <w:szCs w:val="15"/>
              </w:rPr>
              <w:t xml:space="preserve">Understands confounders and selection bias at a conceptual level. Can identify when an observational analysis might mislead.</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color w:val="073535"/>
                <w:sz w:val="15"/>
                <w:szCs w:val="15"/>
              </w:rPr>
              <w:t xml:space="preserve">Applies quasi-experimental methods (difference-in-differences, propensity score matching) with guidance. Knows when an RCT is not possible and what the next best option is.</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color w:val="FFFFFF"/>
                <w:sz w:val="15"/>
                <w:szCs w:val="15"/>
              </w:rPr>
              <w:t xml:space="preserve">Designs causal inference studies independently. Applies DiD, IV, or RDD as appropriate. Guides the team on when observational results are and are not trustworthy.</w:t>
            </w:r>
          </w:p>
        </w:tc>
      </w:tr>
    </w:tbl>
    <w:p>
      <w:pPr>
        <w:spacing w:before="80" w:after="0"/>
      </w:pPr>
    </w:p>
    <w:p>
      <w:pPr>
        <w:spacing w:before="40" w:after="0"/>
      </w:pPr>
    </w:p>
    <w:p>
      <w:pPr>
        <w:pStyle w:val="Heading2"/>
        <w:spacing w:before="300" w:after="120"/>
      </w:pPr>
      <w:r>
        <w:rPr>
          <w:rFonts w:ascii="Arial" w:cs="Arial" w:eastAsia="Arial" w:hAnsi="Arial"/>
          <w:b/>
          <w:bCs/>
          <w:color w:val="0D6E6E"/>
          <w:sz w:val="26"/>
          <w:szCs w:val="26"/>
        </w:rPr>
        <w:t xml:space="preserve">MLOps &amp; Model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520"/>
        <w:gridCol w:w="1520"/>
        <w:gridCol w:w="1520"/>
        <w:gridCol w:w="1520"/>
        <w:gridCol w:w="1520"/>
      </w:tblGrid>
      <w:tr>
        <w:trPr>
          <w:tblHeader/>
        </w:trPr>
        <w:tc>
          <w:tcPr>
            <w:tcW w:type="dxa" w:w="176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Concept</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b/>
                <w:bCs/>
                <w:color w:val="999999"/>
                <w:sz w:val="15"/>
                <w:szCs w:val="15"/>
              </w:rPr>
              <w:t xml:space="preserve">1 — Unaware</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b/>
                <w:bCs/>
                <w:color w:val="1A5C5C"/>
                <w:sz w:val="15"/>
                <w:szCs w:val="15"/>
              </w:rPr>
              <w:t xml:space="preserve">2 — Aware</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b/>
                <w:bCs/>
                <w:color w:val="0D4A4A"/>
                <w:sz w:val="15"/>
                <w:szCs w:val="15"/>
              </w:rPr>
              <w:t xml:space="preserve">3 — Developing</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b/>
                <w:bCs/>
                <w:color w:val="073535"/>
                <w:sz w:val="15"/>
                <w:szCs w:val="15"/>
              </w:rPr>
              <w:t xml:space="preserve">4 — Proficient</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b/>
                <w:bCs/>
                <w:color w:val="FFFFFF"/>
                <w:sz w:val="15"/>
                <w:szCs w:val="15"/>
              </w:rPr>
              <w:t xml:space="preserve">5 — Advanced (Jr DS Ready)</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Model Serialisation</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color w:val="999999"/>
                <w:sz w:val="15"/>
                <w:szCs w:val="15"/>
              </w:rPr>
              <w:t xml:space="preserve">Not aware models need to be saved and deployed.</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color w:val="1A5C5C"/>
                <w:sz w:val="15"/>
                <w:szCs w:val="15"/>
              </w:rPr>
              <w:t xml:space="preserve">Knows models can be exported (e.g. pickle, joblib). Has not done it in production.</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color w:val="0D4A4A"/>
                <w:sz w:val="15"/>
                <w:szCs w:val="15"/>
              </w:rPr>
              <w:t xml:space="preserve">Can serialise a sklearn model and load it for batch scoring with guidance. Understands the risk of version mismatches.</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color w:val="073535"/>
                <w:sz w:val="15"/>
                <w:szCs w:val="15"/>
              </w:rPr>
              <w:t xml:space="preserve">Independently manages model serialisation, versioning, and loading in a production pipeline. Uses Snowflake Model Registry or MLflow for tracking.</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color w:val="FFFFFF"/>
                <w:sz w:val="15"/>
                <w:szCs w:val="15"/>
              </w:rPr>
              <w:t xml:space="preserve">Designs the team's model serialisation and registry standards. Manages model version deprecation. Reviews others' deployment patterns for reliability.</w:t>
            </w:r>
          </w:p>
        </w:tc>
      </w:tr>
      <w:tr>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Scoring Pipelines</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color w:val="999999"/>
                <w:sz w:val="15"/>
                <w:szCs w:val="15"/>
              </w:rPr>
              <w:t xml:space="preserve">No awareness of how models score data after training.</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color w:val="1A5C5C"/>
                <w:sz w:val="15"/>
                <w:szCs w:val="15"/>
              </w:rPr>
              <w:t xml:space="preserve">Knows a trained model needs to run on new data. Not sure how this is operationalised.</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color w:val="0D4A4A"/>
                <w:sz w:val="15"/>
                <w:szCs w:val="15"/>
              </w:rPr>
              <w:t xml:space="preserve">Understands batch scoring vs real-time scoring conceptually. Has contributed to a scoring pipeline with guidance.</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color w:val="073535"/>
                <w:sz w:val="15"/>
                <w:szCs w:val="15"/>
              </w:rPr>
              <w:t xml:space="preserve">Independently builds batch scoring pipelines in Snowflake or Python. Handles schema drift, null inputs, and pipeline failures. Monitors output distributions for drift.</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color w:val="FFFFFF"/>
                <w:sz w:val="15"/>
                <w:szCs w:val="15"/>
              </w:rPr>
              <w:t xml:space="preserve">Architects production scoring pipelines for the team. Defines SLAs, monitoring standards, and retraining triggers.</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Model Drift &amp; Retraining</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color w:val="999999"/>
                <w:sz w:val="15"/>
                <w:szCs w:val="15"/>
              </w:rPr>
              <w:t xml:space="preserve">Not aware models can degrade over time.</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color w:val="1A5C5C"/>
                <w:sz w:val="15"/>
                <w:szCs w:val="15"/>
              </w:rPr>
              <w:t xml:space="preserve">Knows models can become less accurate as data changes. Not sure what to do about it.</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color w:val="0D4A4A"/>
                <w:sz w:val="15"/>
                <w:szCs w:val="15"/>
              </w:rPr>
              <w:t xml:space="preserve">Understands concept drift vs data drift. Can set up a basic monitoring check on prediction distribution with guidance.</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color w:val="073535"/>
                <w:sz w:val="15"/>
                <w:szCs w:val="15"/>
              </w:rPr>
              <w:t xml:space="preserve">Independently monitors model performance in production. Defines retraining triggers based on business impact thresholds. Documents model deprecation criteria.</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color w:val="FFFFFF"/>
                <w:sz w:val="15"/>
                <w:szCs w:val="15"/>
              </w:rPr>
              <w:t xml:space="preserve">Designs the team's model monitoring and retraining framework. Automates drift detection. Reviews others' monitoring designs for gaps.</w:t>
            </w:r>
          </w:p>
        </w:tc>
      </w:tr>
      <w:tr>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Snowflake ML &amp; Model Registry</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color w:val="999999"/>
                <w:sz w:val="15"/>
                <w:szCs w:val="15"/>
              </w:rPr>
              <w:t xml:space="preserve">Not aware Snowflake has ML capabilities.</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color w:val="1A5C5C"/>
                <w:sz w:val="15"/>
                <w:szCs w:val="15"/>
              </w:rPr>
              <w:t xml:space="preserve">Knows Snowflake has ML functions and a Model Registry. Has not used them.</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color w:val="0D4A4A"/>
                <w:sz w:val="15"/>
                <w:szCs w:val="15"/>
              </w:rPr>
              <w:t xml:space="preserve">Has trained a model in Snowflake ML or registered a model in the Model Registry with guidance.</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color w:val="073535"/>
                <w:sz w:val="15"/>
                <w:szCs w:val="15"/>
              </w:rPr>
              <w:t xml:space="preserve">Independently trains, evaluates, versions, and deploys models via Snowflake ML and Model Registry. Integrates with Cortex for inference.</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color w:val="FFFFFF"/>
                <w:sz w:val="15"/>
                <w:szCs w:val="15"/>
              </w:rPr>
              <w:t xml:space="preserve">Designs the team's ML platform strategy on Snowflake. Defines model governance, versioning standards, and Cortex integration patterns.</w:t>
            </w:r>
          </w:p>
        </w:tc>
      </w:tr>
    </w:tbl>
    <w:p>
      <w:pPr>
        <w:spacing w:before="80" w:after="0"/>
      </w:pPr>
    </w:p>
    <w:p>
      <w:pPr>
        <w:spacing w:before="40" w:after="0"/>
      </w:pPr>
    </w:p>
    <w:p>
      <w:pPr>
        <w:pStyle w:val="Heading2"/>
        <w:spacing w:before="300" w:after="120"/>
      </w:pPr>
      <w:r>
        <w:rPr>
          <w:rFonts w:ascii="Arial" w:cs="Arial" w:eastAsia="Arial" w:hAnsi="Arial"/>
          <w:b/>
          <w:bCs/>
          <w:color w:val="0D6E6E"/>
          <w:sz w:val="26"/>
          <w:szCs w:val="26"/>
        </w:rPr>
        <w:t xml:space="preserve">Uncertainty &amp;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520"/>
        <w:gridCol w:w="1520"/>
        <w:gridCol w:w="1520"/>
        <w:gridCol w:w="1520"/>
        <w:gridCol w:w="1520"/>
      </w:tblGrid>
      <w:tr>
        <w:trPr>
          <w:tblHeader/>
        </w:trPr>
        <w:tc>
          <w:tcPr>
            <w:tcW w:type="dxa" w:w="176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Concept</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b/>
                <w:bCs/>
                <w:color w:val="999999"/>
                <w:sz w:val="15"/>
                <w:szCs w:val="15"/>
              </w:rPr>
              <w:t xml:space="preserve">1 — Unaware</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b/>
                <w:bCs/>
                <w:color w:val="1A5C5C"/>
                <w:sz w:val="15"/>
                <w:szCs w:val="15"/>
              </w:rPr>
              <w:t xml:space="preserve">2 — Aware</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b/>
                <w:bCs/>
                <w:color w:val="0D4A4A"/>
                <w:sz w:val="15"/>
                <w:szCs w:val="15"/>
              </w:rPr>
              <w:t xml:space="preserve">3 — Developing</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b/>
                <w:bCs/>
                <w:color w:val="073535"/>
                <w:sz w:val="15"/>
                <w:szCs w:val="15"/>
              </w:rPr>
              <w:t xml:space="preserve">4 — Proficient</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b/>
                <w:bCs/>
                <w:color w:val="FFFFFF"/>
                <w:sz w:val="15"/>
                <w:szCs w:val="15"/>
              </w:rPr>
              <w:t xml:space="preserve">5 — Advanced (Jr DS Ready)</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Prediction Intervals</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color w:val="999999"/>
                <w:sz w:val="15"/>
                <w:szCs w:val="15"/>
              </w:rPr>
              <w:t xml:space="preserve">Only reports point estimates.</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color w:val="1A5C5C"/>
                <w:sz w:val="15"/>
                <w:szCs w:val="15"/>
              </w:rPr>
              <w:t xml:space="preserve">Knows predictions are uncertain. Not sure how to quantify it.</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color w:val="0D4A4A"/>
                <w:sz w:val="15"/>
                <w:szCs w:val="15"/>
              </w:rPr>
              <w:t xml:space="preserve">Can generate basic confidence or prediction intervals for a regression model with guidance. Understands these are wider than confidence intervals.</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color w:val="073535"/>
                <w:sz w:val="15"/>
                <w:szCs w:val="15"/>
              </w:rPr>
              <w:t xml:space="preserve">Independently reports prediction uncertainty alongside point estimates. Explains the difference between model uncertainty and data uncertainty to stakeholders. Selects appropriate interval width for business context.</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color w:val="FFFFFF"/>
                <w:sz w:val="15"/>
                <w:szCs w:val="15"/>
              </w:rPr>
              <w:t xml:space="preserve">Designs the team's uncertainty reporting standards. Applies conformal prediction or Bayesian approaches where appropriate. Guides stakeholders on decision-making under uncertainty.</w:t>
            </w:r>
          </w:p>
        </w:tc>
      </w:tr>
      <w:tr>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Communicating Model Uncertainty</w:t>
            </w:r>
          </w:p>
        </w:tc>
        <w:tc>
          <w:tcPr>
            <w:tcW w:type="dxa" w:w="1520"/>
            <w:tcBorders>
              <w:top w:val="single" w:color="CCCCCC" w:sz="1"/>
              <w:left w:val="single" w:color="CCCCCC" w:sz="1"/>
              <w:bottom w:val="single" w:color="CCCCCC" w:sz="1"/>
              <w:right w:val="single" w:color="CCCCCC" w:sz="1"/>
            </w:tcBorders>
            <w:shd w:fill="F9FAFB" w:val="clear"/>
            <w:tcMar>
              <w:top w:type="dxa" w:w="80"/>
              <w:left w:type="dxa" w:w="100"/>
              <w:bottom w:type="dxa" w:w="80"/>
              <w:right w:type="dxa" w:w="100"/>
            </w:tcMar>
          </w:tcPr>
          <w:p>
            <w:pPr>
              <w:spacing w:before="0" w:after="0"/>
            </w:pPr>
            <w:r>
              <w:rPr>
                <w:rFonts w:ascii="Arial" w:cs="Arial" w:eastAsia="Arial" w:hAnsi="Arial"/>
                <w:color w:val="999999"/>
                <w:sz w:val="15"/>
                <w:szCs w:val="15"/>
              </w:rPr>
              <w:t xml:space="preserve">Does not surface uncertainty to stakeholders.</w:t>
            </w:r>
          </w:p>
        </w:tc>
        <w:tc>
          <w:tcPr>
            <w:tcW w:type="dxa" w:w="1520"/>
            <w:tcBorders>
              <w:top w:val="single" w:color="CCCCCC" w:sz="1"/>
              <w:left w:val="single" w:color="CCCCCC" w:sz="1"/>
              <w:bottom w:val="single" w:color="CCCCCC" w:sz="1"/>
              <w:right w:val="single" w:color="CCCCCC" w:sz="1"/>
            </w:tcBorders>
            <w:shd w:fill="E8F5F5" w:val="clear"/>
            <w:tcMar>
              <w:top w:type="dxa" w:w="80"/>
              <w:left w:type="dxa" w:w="100"/>
              <w:bottom w:type="dxa" w:w="80"/>
              <w:right w:type="dxa" w:w="100"/>
            </w:tcMar>
          </w:tcPr>
          <w:p>
            <w:pPr>
              <w:spacing w:before="0" w:after="0"/>
            </w:pPr>
            <w:r>
              <w:rPr>
                <w:rFonts w:ascii="Arial" w:cs="Arial" w:eastAsia="Arial" w:hAnsi="Arial"/>
                <w:color w:val="1A5C5C"/>
                <w:sz w:val="15"/>
                <w:szCs w:val="15"/>
              </w:rPr>
              <w:t xml:space="preserve">Mentions the model has a confidence score without explaining what it means.</w:t>
            </w:r>
          </w:p>
        </w:tc>
        <w:tc>
          <w:tcPr>
            <w:tcW w:type="dxa" w:w="1520"/>
            <w:tcBorders>
              <w:top w:val="single" w:color="CCCCCC" w:sz="1"/>
              <w:left w:val="single" w:color="CCCCCC" w:sz="1"/>
              <w:bottom w:val="single" w:color="CCCCCC" w:sz="1"/>
              <w:right w:val="single" w:color="CCCCCC" w:sz="1"/>
            </w:tcBorders>
            <w:shd w:fill="C8E8E8" w:val="clear"/>
            <w:tcMar>
              <w:top w:type="dxa" w:w="80"/>
              <w:left w:type="dxa" w:w="100"/>
              <w:bottom w:type="dxa" w:w="80"/>
              <w:right w:type="dxa" w:w="100"/>
            </w:tcMar>
          </w:tcPr>
          <w:p>
            <w:pPr>
              <w:spacing w:before="0" w:after="0"/>
            </w:pPr>
            <w:r>
              <w:rPr>
                <w:rFonts w:ascii="Arial" w:cs="Arial" w:eastAsia="Arial" w:hAnsi="Arial"/>
                <w:color w:val="0D4A4A"/>
                <w:sz w:val="15"/>
                <w:szCs w:val="15"/>
              </w:rPr>
              <w:t xml:space="preserve">Can explain prediction confidence in plain language with guidance. Knows that a 70% probability does not mean the model is 70% accurate.</w:t>
            </w:r>
          </w:p>
        </w:tc>
        <w:tc>
          <w:tcPr>
            <w:tcW w:type="dxa" w:w="1520"/>
            <w:tcBorders>
              <w:top w:val="single" w:color="CCCCCC" w:sz="1"/>
              <w:left w:val="single" w:color="CCCCCC" w:sz="1"/>
              <w:bottom w:val="single" w:color="CCCCCC" w:sz="1"/>
              <w:right w:val="single" w:color="CCCCCC" w:sz="1"/>
            </w:tcBorders>
            <w:shd w:fill="9ECECE" w:val="clear"/>
            <w:tcMar>
              <w:top w:type="dxa" w:w="80"/>
              <w:left w:type="dxa" w:w="100"/>
              <w:bottom w:type="dxa" w:w="80"/>
              <w:right w:type="dxa" w:w="100"/>
            </w:tcMar>
          </w:tcPr>
          <w:p>
            <w:pPr>
              <w:spacing w:before="0" w:after="0"/>
            </w:pPr>
            <w:r>
              <w:rPr>
                <w:rFonts w:ascii="Arial" w:cs="Arial" w:eastAsia="Arial" w:hAnsi="Arial"/>
                <w:color w:val="073535"/>
                <w:sz w:val="15"/>
                <w:szCs w:val="15"/>
              </w:rPr>
              <w:t xml:space="preserve">Independently frames model uncertainty in business terms (e.g. expected range of outcomes, not just a point estimate). Adapts the explanation to the audience.</w:t>
            </w:r>
          </w:p>
        </w:tc>
        <w:tc>
          <w:tcPr>
            <w:tcW w:type="dxa" w:w="152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before="0" w:after="0"/>
            </w:pPr>
            <w:r>
              <w:rPr>
                <w:rFonts w:ascii="Arial" w:cs="Arial" w:eastAsia="Arial" w:hAnsi="Arial"/>
                <w:color w:val="FFFFFF"/>
                <w:sz w:val="15"/>
                <w:szCs w:val="15"/>
              </w:rPr>
              <w:t xml:space="preserve">Sets the standard for how the team communicates model outputs to non-technical stakeholders. Pushes back on stakeholder demands for false precision.</w:t>
            </w:r>
          </w:p>
        </w:tc>
      </w:tr>
    </w:tbl>
    <w:p>
      <w:pPr>
        <w:spacing w:before="80" w:after="0"/>
      </w:pP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6E6E" w:val="clear"/>
            <w:tcMar>
              <w:top w:type="dxa" w:w="180"/>
              <w:left w:type="dxa" w:w="300"/>
              <w:bottom w:type="dxa" w:w="180"/>
              <w:right w:type="dxa" w:w="300"/>
            </w:tcMar>
          </w:tcPr>
          <w:p>
            <w:pPr>
              <w:spacing w:before="0" w:after="60"/>
            </w:pPr>
            <w:r>
              <w:rPr>
                <w:rFonts w:ascii="Arial" w:cs="Arial" w:eastAsia="Arial" w:hAnsi="Arial"/>
                <w:b/>
                <w:bCs/>
                <w:color w:val="FFFFFF"/>
                <w:sz w:val="30"/>
                <w:szCs w:val="30"/>
              </w:rPr>
              <w:t xml:space="preserve">Manager Guide — DS Pathway Calibration</w:t>
            </w:r>
          </w:p>
          <w:p>
            <w:pPr>
              <w:spacing w:before="0" w:after="0"/>
            </w:pPr>
            <w:r>
              <w:rPr>
                <w:rFonts w:ascii="Arial" w:cs="Arial" w:eastAsia="Arial" w:hAnsi="Arial"/>
                <w:i/>
                <w:iCs/>
                <w:color w:val="AADDDD"/>
                <w:sz w:val="18"/>
                <w:szCs w:val="18"/>
              </w:rPr>
              <w:t xml:space="preserve">How to read Section 7 results and translate them into training actions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80"/>
        <w:gridCol w:w="3680"/>
      </w:tblGrid>
      <w:tr>
        <w:trPr>
          <w:tblHeader/>
        </w:trPr>
        <w:tc>
          <w:tcPr>
            <w:tcW w:type="dxa" w:w="32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Pattern in Section 7 responses</w:t>
            </w:r>
          </w:p>
        </w:tc>
        <w:tc>
          <w:tcPr>
            <w:tcW w:type="dxa" w:w="248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What it signals</w:t>
            </w:r>
          </w:p>
        </w:tc>
        <w:tc>
          <w:tcPr>
            <w:tcW w:type="dxa" w:w="368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Training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Mostly 1–2 across all DS concepts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16"/>
                <w:szCs w:val="16"/>
              </w:rPr>
              <w:t xml:space="preserve">Pure analyst profile. No DS exposure yet — regardless of title.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16"/>
                <w:szCs w:val="16"/>
              </w:rPr>
              <w:t xml:space="preserve">Start with mathematical intuition (not proofs). Pair with a DS-capable peer. Assign supervised mini-projects in regression and feature engineering.</w:t>
            </w:r>
          </w:p>
        </w:tc>
      </w:tr>
      <w:tr>
        <w:tc>
          <w:tcPr>
            <w:tcW w:type="dxa" w:w="32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Mostly 3 across maths and model selection, but 1–2 on MLOps</w:t>
            </w:r>
          </w:p>
        </w:tc>
        <w:tc>
          <w:tcPr>
            <w:tcW w:type="dxa" w:w="248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pPr>
              <w:spacing w:before="0" w:after="0"/>
            </w:pPr>
            <w:r>
              <w:rPr>
                <w:rFonts w:ascii="Arial" w:cs="Arial" w:eastAsia="Arial" w:hAnsi="Arial"/>
                <w:b w:val="false"/>
                <w:bCs w:val="false"/>
                <w:color w:val="444444"/>
                <w:sz w:val="16"/>
                <w:szCs w:val="16"/>
              </w:rPr>
              <w:t xml:space="preserve">Has done the courses, built models in notebooks, never deployed. Very common.</w:t>
            </w:r>
          </w:p>
        </w:tc>
        <w:tc>
          <w:tcPr>
            <w:tcW w:type="dxa" w:w="368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pPr>
              <w:spacing w:before="0" w:after="0"/>
            </w:pPr>
            <w:r>
              <w:rPr>
                <w:rFonts w:ascii="Arial" w:cs="Arial" w:eastAsia="Arial" w:hAnsi="Arial"/>
                <w:b w:val="false"/>
                <w:bCs w:val="false"/>
                <w:color w:val="444444"/>
                <w:sz w:val="16"/>
                <w:szCs w:val="16"/>
              </w:rPr>
              <w:t xml:space="preserve">Priority: MLOps fundamentals and Snowflake Model Registry. Assign a real deployment task with support. This gap is what keeps analysts out of DS roles.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High maths and methods (4–5), low MLOps and uncertainty communication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16"/>
                <w:szCs w:val="16"/>
              </w:rPr>
              <w:t xml:space="preserve">Strong academic background (likely Masters). Missing production and communication skills.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16"/>
                <w:szCs w:val="16"/>
              </w:rPr>
              <w:t xml:space="preserve">Fast-track: production pipeline project in Snowflake. Focus on stakeholder communication of model outputs. These analysts are closest to junior DS ready.</w:t>
            </w:r>
          </w:p>
        </w:tc>
      </w:tr>
      <w:tr>
        <w:tc>
          <w:tcPr>
            <w:tcW w:type="dxa" w:w="32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High across the board but junior title</w:t>
            </w:r>
          </w:p>
        </w:tc>
        <w:tc>
          <w:tcPr>
            <w:tcW w:type="dxa" w:w="248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pPr>
              <w:spacing w:before="0" w:after="0"/>
            </w:pPr>
            <w:r>
              <w:rPr>
                <w:rFonts w:ascii="Arial" w:cs="Arial" w:eastAsia="Arial" w:hAnsi="Arial"/>
                <w:b w:val="false"/>
                <w:bCs w:val="false"/>
                <w:color w:val="444444"/>
                <w:sz w:val="16"/>
                <w:szCs w:val="16"/>
              </w:rPr>
              <w:t xml:space="preserve">Underpromoted. May be performing at DS level already.</w:t>
            </w:r>
          </w:p>
        </w:tc>
        <w:tc>
          <w:tcPr>
            <w:tcW w:type="dxa" w:w="368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pPr>
              <w:spacing w:before="0" w:after="0"/>
            </w:pPr>
            <w:r>
              <w:rPr>
                <w:rFonts w:ascii="Arial" w:cs="Arial" w:eastAsia="Arial" w:hAnsi="Arial"/>
                <w:b w:val="false"/>
                <w:bCs w:val="false"/>
                <w:color w:val="444444"/>
                <w:sz w:val="16"/>
                <w:szCs w:val="16"/>
              </w:rPr>
              <w:t xml:space="preserve">Have the role conversation. Consider DS-titled work stream or secondment. Retention risk if this isn't addressed.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High tool ratings (Section 1) but low DS pathway ratings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16"/>
                <w:szCs w:val="16"/>
              </w:rPr>
              <w:t xml:space="preserve">Strong analytics engineer profile. Different career track — not necessarily DS-bound.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16"/>
                <w:szCs w:val="16"/>
              </w:rPr>
              <w:t xml:space="preserve">Clarify with the analyst: is DS the goal? If yes, build the maths and methods bridge. If no, invest in Cortex and analytics engineering depth instead.</w:t>
            </w:r>
          </w:p>
        </w:tc>
      </w:tr>
      <w:tr>
        <w:tc>
          <w:tcPr>
            <w:tcW w:type="dxa" w:w="32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pPr>
              <w:spacing w:before="0" w:after="0"/>
            </w:pPr>
            <w:r>
              <w:rPr>
                <w:rFonts w:ascii="Arial" w:cs="Arial" w:eastAsia="Arial" w:hAnsi="Arial"/>
                <w:b/>
                <w:bCs/>
                <w:color w:val="0D6E6E"/>
                <w:sz w:val="16"/>
                <w:szCs w:val="16"/>
              </w:rPr>
              <w:t xml:space="preserve">Inconsistent — high in some DS areas, low in others</w:t>
            </w:r>
          </w:p>
        </w:tc>
        <w:tc>
          <w:tcPr>
            <w:tcW w:type="dxa" w:w="248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pPr>
              <w:spacing w:before="0" w:after="0"/>
            </w:pPr>
            <w:r>
              <w:rPr>
                <w:rFonts w:ascii="Arial" w:cs="Arial" w:eastAsia="Arial" w:hAnsi="Arial"/>
                <w:b w:val="false"/>
                <w:bCs w:val="false"/>
                <w:color w:val="444444"/>
                <w:sz w:val="16"/>
                <w:szCs w:val="16"/>
              </w:rPr>
              <w:t xml:space="preserve">Specialist depth without breadth. Common in analysts who've worked on one ML use case intensively.</w:t>
            </w:r>
          </w:p>
        </w:tc>
        <w:tc>
          <w:tcPr>
            <w:tcW w:type="dxa" w:w="368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pPr>
              <w:spacing w:before="0" w:after="0"/>
            </w:pPr>
            <w:r>
              <w:rPr>
                <w:rFonts w:ascii="Arial" w:cs="Arial" w:eastAsia="Arial" w:hAnsi="Arial"/>
                <w:b w:val="false"/>
                <w:bCs w:val="false"/>
                <w:color w:val="444444"/>
                <w:sz w:val="16"/>
                <w:szCs w:val="16"/>
              </w:rPr>
              <w:t xml:space="preserve">Map the gaps specifically. Don't retrain what they already know. Fill the missing pieces (often MLOps or experiment design).</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2F2" w:val="clear"/>
            <w:tcMar>
              <w:top w:type="dxa" w:w="160"/>
              <w:left w:type="dxa" w:w="240"/>
              <w:bottom w:type="dxa" w:w="160"/>
              <w:right w:type="dxa" w:w="240"/>
            </w:tcMar>
          </w:tcPr>
          <w:p>
            <w:pPr>
              <w:spacing w:before="0" w:after="60"/>
            </w:pPr>
            <w:r>
              <w:rPr>
                <w:rFonts w:ascii="Arial" w:cs="Arial" w:eastAsia="Arial" w:hAnsi="Arial"/>
                <w:b/>
                <w:bCs/>
                <w:color w:val="0D6E6E"/>
                <w:sz w:val="18"/>
                <w:szCs w:val="18"/>
              </w:rPr>
              <w:t xml:space="preserve">The single most important question to ask in the 1:1:</w:t>
            </w:r>
          </w:p>
          <w:p>
            <w:pPr>
              <w:spacing w:before="0" w:after="60"/>
            </w:pPr>
            <w:r>
              <w:rPr>
                <w:rFonts w:ascii="Arial" w:cs="Arial" w:eastAsia="Arial" w:hAnsi="Arial"/>
                <w:i/>
                <w:iCs/>
                <w:color w:val="1A4A4A"/>
                <w:sz w:val="18"/>
                <w:szCs w:val="18"/>
              </w:rPr>
              <w:t xml:space="preserve">"If I gave you a raw dataset and a business problem tomorrow with no guidance — describe what you'd do from first principles to the point where a stakeholder is looking at a model output and making a decision from it."</w:t>
            </w:r>
          </w:p>
          <w:p>
            <w:pPr>
              <w:spacing w:before="0" w:after="0"/>
            </w:pPr>
            <w:r>
              <w:rPr>
                <w:rFonts w:ascii="Arial" w:cs="Arial" w:eastAsia="Arial" w:hAnsi="Arial"/>
                <w:color w:val="444444"/>
                <w:sz w:val="17"/>
                <w:szCs w:val="17"/>
              </w:rPr>
              <w:t xml:space="preserve">Where they stall or go vague is exactly where training needs to focus. A junior DS ready analyst will walk you through the whole journey — problem framing, EDA, feature engineering, model choice, evaluation, deployment, monitoring, and communication — without prompting.</w:t>
            </w:r>
          </w:p>
        </w:tc>
      </w:tr>
    </w:tbl>
    <w:sectPr>
      <w:headerReference w:type="default" r:id="rId6"/>
      <w:footerReference w:type="default" r:id="rId7"/>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E6E" w:sz="4" w:space="1"/>
      </w:pBdr>
      <w:jc w:val="center"/>
    </w:pPr>
    <w:r>
      <w:rPr>
        <w:rFonts w:ascii="Arial" w:cs="Arial" w:eastAsia="Arial" w:hAnsi="Arial"/>
        <w:color w:val="AAAAAA"/>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6E" w:sz="4" w:space="1"/>
      </w:pBdr>
      <w:spacing w:after="0"/>
    </w:pPr>
    <w:r>
      <w:rPr>
        <w:rFonts w:ascii="Arial" w:cs="Arial" w:eastAsia="Arial" w:hAnsi="Arial"/>
        <w:color w:val="888888"/>
        <w:sz w:val="16"/>
        <w:szCs w:val="16"/>
      </w:rPr>
      <w:t xml:space="preserve">Analytics Chapter  |  Data Science Pathway — Section 7 Supplement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0D6E6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D6E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2026-03-03T07:18:59.539Z</dcterms:created>
  <dcterms:modified xsi:type="dcterms:W3CDTF">2026-03-03T07:18:59.540Z</dcterms:modified>
</cp:coreProperties>
</file>

<file path=docProps/custom.xml><?xml version="1.0" encoding="utf-8"?>
<Properties xmlns="http://schemas.openxmlformats.org/officeDocument/2006/custom-properties" xmlns:vt="http://schemas.openxmlformats.org/officeDocument/2006/docPropsVTypes"/>
</file>