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Mechanistic Interpretability of Diffusion Models</w:t>
      </w:r>
    </w:p>
    <w:p>
      <w:pPr>
        <w:spacing w:after="360"/>
        <w:jc w:val="center"/>
      </w:pPr>
      <w:r>
        <w:rPr>
          <w:i/>
          <w:sz w:val="22"/>
        </w:rPr>
        <w:t>A concept-attention framework for interpreting text-to-image transformers</w:t>
      </w:r>
    </w:p>
    <w:p>
      <w:pPr>
        <w:spacing w:before="280" w:after="120"/>
      </w:pPr>
      <w:r>
        <w:rPr>
          <w:b/>
          <w:sz w:val="26"/>
        </w:rPr>
        <w:t>1. The Concept-Attention Idea</w:t>
      </w:r>
    </w:p>
    <w:p>
      <w:r>
        <w:t>The starting point for this line of work is the idea that a diffusion transformer's internal representation of a prompt can be decomposed into a set of discrete, human-interpretable “concepts,” each with its own spatial footprint over the generated image. This framing follows Tinaz, Fabian &amp; Soltanolkotabi, “Emergence and Evolution of Interpretable Concepts in Diffusion Models” (NeurIPS 2025), which introduces concept-attention as a way to read out what a model is actually representing at a given block and denoising timestep — as opposed to treating the model purely as a black box scored only on the pixels it eventually produces.</w:t>
      </w:r>
    </w:p>
    <w:p>
      <w:r>
        <w:t>The practical appeal of this framing for our purposes is that it gives us a route to an image-quality signal that is grounded in what the model computed, not just in how the output looks to an external scorer (CLIP, BLIP-2, VQAScore). If a model represents the concepts in a prompt cleanly and consistently, that is itself evidence of quality — independent of, and potentially complementary to, whatever a downstream vision-language scorer says about the final image.</w:t>
      </w:r>
    </w:p>
    <w:p>
      <w:pPr>
        <w:spacing w:before="280" w:after="120"/>
      </w:pPr>
      <w:r>
        <w:rPr>
          <w:b/>
          <w:sz w:val="26"/>
        </w:rPr>
        <w:t>2. Extracting Concepts: Sparse Autoencoders on Block Residuals</w:t>
      </w:r>
    </w:p>
    <w:p>
      <w:r>
        <w:t>Concepts are not read directly off the model's raw hidden states — those are dense, high-dimensional, and not aligned with any single human-interpretable axis. Instead, we train a Sparse Autoencoder (SAE) on the residual update that each transformer block writes to the image stream:</w:t>
      </w:r>
    </w:p>
    <w:p>
      <w:pPr>
        <w:spacing w:after="200"/>
        <w:jc w:val="center"/>
      </w:pPr>
      <w:r>
        <w:rPr>
          <w:i/>
          <w:sz w:val="24"/>
        </w:rPr>
        <w:t>Δℓ,ₜ  =  block_output − block_input</w:t>
      </w:r>
    </w:p>
    <w:p>
      <w:r>
        <w:t>for a given block ℓ at denoising step t. This residual, rather than the block's raw output, is what the SAE is trained on. Sparse coding on the residual is the standard mechanistic-interpretability move: because the SAE is over-complete (many more latent features than input dimensions) and trained with a sparsity constraint, individual latent directions tend to line up with distinct, separable concepts instead of superpositions of many concepts at once — which is what makes them interpretable in the first place. One SAE is trained per (block, timestep) pair, since a block's role in the computation — and therefore what it represents — is not assumed to be the same at every point in the denoising trajectory.</w:t>
      </w:r>
    </w:p>
    <w:p>
      <w:r>
        <w:t>Once trained, a SAE latent's activation across image tokens can be reshaped back into a spatial map — exactly like a cross-attention heatmap — giving each concept a location, an extent, and a strength within the generated image.</w:t>
      </w:r>
    </w:p>
    <w:p>
      <w:pPr>
        <w:spacing w:before="280" w:after="120"/>
      </w:pPr>
      <w:r>
        <w:rPr>
          <w:b/>
          <w:sz w:val="26"/>
        </w:rPr>
        <w:t>3. An Image as a Composition of Concepts</w:t>
      </w:r>
    </w:p>
    <w:p>
      <w:r>
        <w:t>With per-concept spatial maps in hand, a generated image can be treated not as a single opaque object but as a composition of concepts, and image quality can be studied through the relationships between those concepts rather than through the pixels alone: Are the concepts the prompt calls for actually present in the representation? Are they spatially well-localized, or diffuse and uncertain? Do concepts that should be distinct (e.g. two different characters, or a concrete object versus a metaphorical one) actually occupy distinct regions of the image, or do they collapse into each other? This relational view is what the three metrics below are designed to make quantitative.</w:t>
      </w:r>
    </w:p>
    <w:p>
      <w:pPr>
        <w:spacing w:before="280" w:after="120"/>
      </w:pPr>
      <w:r>
        <w:rPr>
          <w:b/>
          <w:sz w:val="26"/>
        </w:rPr>
        <w:t>4. Three Proposed Metrics</w:t>
      </w:r>
    </w:p>
    <w:p>
      <w:pPr>
        <w:pStyle w:val="ListBullet"/>
        <w:spacing w:after="120"/>
      </w:pPr>
      <w:r>
        <w:rPr>
          <w:b/>
        </w:rPr>
        <w:t xml:space="preserve">Concept Centroid Deviation — </w:t>
      </w:r>
      <w:r>
        <w:t>for a fixed concept, the spread of its spatial centroid across independent random seeds (same prompt, same block, same timestep, different noise). Low deviation means the model consistently places the concept in the same region regardless of seed — i.e. it is representing the concept, not guessing at it. High deviation suggests the concept is not reliably encoded.</w:t>
      </w:r>
    </w:p>
    <w:p>
      <w:pPr>
        <w:pStyle w:val="ListBullet"/>
        <w:spacing w:after="120"/>
      </w:pPr>
      <w:r>
        <w:rPr>
          <w:b/>
        </w:rPr>
        <w:t xml:space="preserve">Cross-Concept Index (overlap) — </w:t>
      </w:r>
      <w:r>
        <w:t>the cosine similarity between the spatial maps of two different concepts within the same image. A well-formed image should keep distinct concepts spatially separated; a high cross-concept index flags cases where the model is conflating two things it should be keeping apart.</w:t>
      </w:r>
    </w:p>
    <w:p>
      <w:pPr>
        <w:pStyle w:val="ListBullet"/>
        <w:spacing w:after="120"/>
      </w:pPr>
      <w:r>
        <w:rPr>
          <w:b/>
        </w:rPr>
        <w:t xml:space="preserve">Attention Concentration Index (ACI) — </w:t>
      </w:r>
      <w:r>
        <w:t>1 minus the normalized Shannon entropy of a concept's spatial map. A concentrated, confident representation has low entropy (high ACI); a diffuse, uncertain one has high entropy (low ACI). This is essentially asking how “in focus” each concept's footprint is.</w:t>
      </w:r>
    </w:p>
    <w:p>
      <w:r>
        <w:t>Together, these three give a per-concept, per-image profile: where a concept lives (centroid), how reliably it lives there (deviation), how sharply it is represented (ACI), and whether it is properly disentangled from other concepts in the same image (cross-concept index).</w:t>
      </w:r>
    </w:p>
    <w:p>
      <w:pPr>
        <w:spacing w:before="280" w:after="120"/>
      </w:pPr>
      <w:r>
        <w:rPr>
          <w:b/>
          <w:sz w:val="26"/>
        </w:rPr>
        <w:t>5. Where This Stands, and What's Still Open</w:t>
      </w:r>
    </w:p>
    <w:p>
      <w:r>
        <w:t>The pipeline above is implemented and validated end-to-end on both FLUX (double- and single-stream blocks, a 4-block × 4-timestep SAE grid) and SD3 (a 5-block SAE set), and produces exactly the per-concept metrics described above at scale. The open question the project is currently working through is validation: do these mechanistic metrics track anything a standard image-quality scorer (CLIP, BLIP-2, VQAScore) does not already capture? An early correlation pass against our own CLIP/BLIP-2/VQAScore benchmark shows a directional signal — SAE concentration tracks VQAScore noticeably more closely than it tracks CLIP — but this needs to be run at full scale and, more importantly, checked against real human quality judgments rather than against other automated metrics alone. The principled version of that check is an incremental-validity regression: fit the standard metrics to human ratings, then test whether the mechanistic metrics explain any of the variance in human judgment that the standard metrics leave on the table. That human-rating collection is the next major piece of infrastructure this project needs before the concept-attention metrics can be validated as more than a self-consistent internal signal.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