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6"/>
        </w:rPr>
        <w:t>Mechanistic Interpretability of Diffusion Models:</w:t>
      </w:r>
    </w:p>
    <w:p>
      <w:pPr>
        <w:spacing w:after="40"/>
        <w:jc w:val="center"/>
      </w:pPr>
      <w:r>
        <w:rPr>
          <w:b/>
          <w:sz w:val="36"/>
        </w:rPr>
        <w:t>Concept-Level Metrics for Text-to-Image Generation Quality</w:t>
      </w:r>
    </w:p>
    <w:p>
      <w:pPr>
        <w:spacing w:after="40"/>
        <w:jc w:val="center"/>
      </w:pPr>
      <w:r>
        <w:rPr>
          <w:sz w:val="24"/>
        </w:rPr>
        <w:t>Akshat Jha</w:t>
      </w:r>
    </w:p>
    <w:p>
      <w:pPr>
        <w:spacing w:after="360"/>
        <w:jc w:val="center"/>
      </w:pPr>
      <w:r>
        <w:rPr>
          <w:i/>
          <w:sz w:val="20"/>
        </w:rPr>
        <w:t>Independent research project, submitted for ICLR review</w:t>
      </w:r>
    </w:p>
    <w:p>
      <w:pPr>
        <w:spacing w:before="320" w:after="120"/>
      </w:pPr>
      <w:r>
        <w:rPr>
          <w:b/>
          <w:sz w:val="28"/>
        </w:rPr>
        <w:t>Abstract</w:t>
      </w:r>
    </w:p>
    <w:p>
      <w:pPr>
        <w:jc w:val="both"/>
      </w:pPr>
      <w:r>
        <w:t>Standard automated metrics for text-to-image generation, CLIP Score, BLIP-2 image-text matching, and VQAScore among them, evaluate a generated image only from the outside: they compare the final pixels to the prompt without reference to what the generative model actually computed to produce those pixels. This project evaluates three modern diffusion transformers, FLUX.1-schnell, Stable Diffusion 3 (SD3-medium), and PixArt-alpha, on a shared set of 600 prompts using the standard metrics above plus Inception Score, and in parallel develops a mechanistic alternative: sparse autoencoders (SAEs) trained on the residual activations of individual transformer blocks, used to decompose a generated image into a set of interpretable concepts and to score those concepts directly. Three concept-level metrics are proposed: Concept Centroid Deviation, the Cross-Concept Index, and the Attention Concentration Index. We report the completed four-metric benchmark across all three models, document concrete cases where the standard metrics disagree with one another in ways that reveal known blind spots (particularly CLIP's weakness on figurative language and on generic, low-salience scenes), and present preliminary correlation results between the mechanistic metrics and the standard benchmark. A self-hosted human evaluation tool has also been built to eventually calibrate the mechanistic metrics against real human quality judgments, which is identified as the critical next step for validating the approach.</w:t>
      </w:r>
    </w:p>
    <w:p>
      <w:pPr>
        <w:spacing w:before="320" w:after="120"/>
      </w:pPr>
      <w:r>
        <w:rPr>
          <w:b/>
          <w:sz w:val="28"/>
        </w:rPr>
        <w:t>1. Introduction</w:t>
      </w:r>
    </w:p>
    <w:p>
      <w:pPr>
        <w:jc w:val="both"/>
      </w:pPr>
      <w:r>
        <w:t>Text-to-image diffusion models are typically compared using automated scorers that judge only the relationship between a finished image and its prompt. CLIP Score measures the cosine similarity between a shared image and text embedding. BLIP-2 image-text matching scores the probability that a caption and an image correspond. VQAScore reformulates the comparison as a visual question answering problem and scores the model's confidence that the image satisfies the prompt. Inception Score measures the diversity and confidence of a separate classifier's predictions over a batch of generated images, without reference to the prompt at all. Each of these is useful, and each has documented failure modes: CLIP in particular is known to behave like a bag of words, rewarding the presence of the right objects while being largely blind to composition, counting, spatial relationships, and negation.</w:t>
      </w:r>
    </w:p>
    <w:p>
      <w:pPr>
        <w:jc w:val="both"/>
      </w:pPr>
      <w:r>
        <w:t>All four of these metrics share a deeper limitation. They treat the generative model as a black box and never look at what happens between the prompt and the pixels. Two images can receive the same CLIP score for very different reasons: one because the model cleanly represented every concept in the prompt, the other because the model got lucky, or because CLIP itself failed to penalize a real compositional error. This project's central hypothesis is that a metric grounded in the model's internal representation, specifically in how cleanly it represents individual concepts from the prompt and how those concepts relate to one another spatially, can capture image quality signal that these black box scorers miss, and that this signal is worth testing directly against human judgment rather than assumed.</w:t>
      </w:r>
    </w:p>
    <w:p>
      <w:pPr>
        <w:spacing w:before="320" w:after="120"/>
      </w:pPr>
      <w:r>
        <w:rPr>
          <w:b/>
          <w:sz w:val="28"/>
        </w:rPr>
        <w:t>2. Background: Concept-Attention and Sparse Autoencoders</w:t>
      </w:r>
    </w:p>
    <w:p>
      <w:pPr>
        <w:jc w:val="both"/>
      </w:pPr>
      <w:r>
        <w:t>The concept-attention framing used here follows Tinaz, Fabian, and Soltanolkotabi, “Emergence and Evolution of Interpretable Concepts in Diffusion Models” (NeurIPS 2025, arXiv:2504.15473). The central object of study in that work is not the raw cross-attention map a diffusion transformer produces, but a sparse autoencoder trained per architectural block and per denoising timestep on the residual update the block writes to the image stream. Formally, for block l at denoising step t, the training signal is</w:t>
      </w:r>
    </w:p>
    <w:p>
      <w:pPr>
        <w:spacing w:after="200"/>
        <w:jc w:val="center"/>
      </w:pPr>
      <w:r>
        <w:rPr>
          <w:i/>
          <w:sz w:val="24"/>
        </w:rPr>
        <w:t>Δ(l, t) = block_output(l, t) minus block_input(l, t)</w:t>
      </w:r>
    </w:p>
    <w:p>
      <w:pPr>
        <w:jc w:val="both"/>
      </w:pPr>
      <w:r>
        <w:t>the difference between what goes into the block and what comes out of it, rather than the raw hidden state itself. An interpretable concept, under this view, is a column of the sparse autoencoder's decoder matrix: a single direction in activation space that the sparsity constraint has isolated because it recurs across many prompts and images. A concept's spatial footprint in a specific generated image is simply how strongly its corresponding latent fires across the image's spatial tokens, reshaped back into a two dimensional map in the same way a cross-attention heatmap would be.</w:t>
      </w:r>
    </w:p>
    <w:p>
      <w:pPr>
        <w:jc w:val="both"/>
      </w:pPr>
      <w:r>
        <w:t>Sparse autoencoders are used here rather than the dense hidden state directly because a block's raw activation is a superposition of many features at once and does not, by itself, correspond to any single interpretable idea. Training an over-complete autoencoder (more latent features than input dimensions) under an activation sparsity penalty is the standard mechanistic interpretability technique for pulling individual, separable concepts back out of that superposition.</w:t>
      </w:r>
    </w:p>
    <w:p>
      <w:pPr>
        <w:spacing w:before="320" w:after="120"/>
      </w:pPr>
      <w:r>
        <w:rPr>
          <w:b/>
          <w:sz w:val="28"/>
        </w:rPr>
        <w:t>3. Experimental Setup</w:t>
      </w:r>
    </w:p>
    <w:p>
      <w:pPr>
        <w:spacing w:before="200" w:after="80"/>
      </w:pPr>
      <w:r>
        <w:rPr>
          <w:b/>
          <w:sz w:val="24"/>
        </w:rPr>
        <w:t>3.1 Models and Image Generation</w:t>
      </w:r>
    </w:p>
    <w:p>
      <w:pPr>
        <w:jc w:val="both"/>
      </w:pPr>
      <w:r>
        <w:t>Three models were evaluated: FLUX.1-schnell (a distilled, guidance-free model run for four inference steps), SD3-medium (run for the standard twenty-eight steps with its full text encoder stack, including the T5 encoder, enabled for a fair comparison against the other two models), and PixArt-alpha. All three models generated images for the same set of 600 prompts, drawn from a mixture of poems and short stories, using a fixed, identical seed across models so that any measured differences reflect the models themselves rather than sampling variance.</w:t>
      </w:r>
    </w:p>
    <w:p>
      <w:pPr>
        <w:spacing w:before="200" w:after="80"/>
      </w:pPr>
      <w:r>
        <w:rPr>
          <w:b/>
          <w:sz w:val="24"/>
        </w:rPr>
        <w:t>3.2 Standard Benchmark Metrics</w:t>
      </w:r>
    </w:p>
    <w:p>
      <w:pPr>
        <w:jc w:val="both"/>
      </w:pPr>
      <w:r>
        <w:t>Every one of the 1,800 generated images (600 prompts times three models) was scored with four independent, established metrics: CLIP Score, BLIP-2 image-text matching, VQAScore (using a CLIP-FlanT5-XL backbone), and Inception Score. This benchmark is complete for all three models.</w:t>
      </w:r>
    </w:p>
    <w:p>
      <w:pPr>
        <w:spacing w:before="200" w:after="80"/>
      </w:pPr>
      <w:r>
        <w:rPr>
          <w:b/>
          <w:sz w:val="24"/>
        </w:rPr>
        <w:t>3.3 Mechanistic Concept Extraction</w:t>
      </w:r>
    </w:p>
    <w:p>
      <w:pPr>
        <w:jc w:val="both"/>
      </w:pPr>
      <w:r>
        <w:t>Concept extraction was implemented separately for each model family, matched to its transformer architecture. SD3 has a single flat stack of joint attention blocks, and five SAEs were trained, one per selected block. FLUX has two structurally different block types, double-stream blocks in which the image and text streams attend to each other through separate projections, and single-stream blocks in which the two streams are later concatenated into one sequence. For FLUX, one SAE was trained per combination of four representative blocks (the earliest and latest block of each stream type) and four denoising timesteps spanning the full trajectory, for sixteen SAEs in total. Because FLUX.1-schnell runs for only four inference steps, these four timesteps correspond to every single step the model takes, so the sixteen SAE grid gives complete coverage of the model's denoising trajectory rather than a subsample of it.</w:t>
      </w:r>
    </w:p>
    <w:p>
      <w:pPr>
        <w:spacing w:before="200" w:after="80"/>
      </w:pPr>
      <w:r>
        <w:rPr>
          <w:b/>
          <w:sz w:val="24"/>
        </w:rPr>
        <w:t>3.4 Proposed Concept-Level Metrics</w:t>
      </w:r>
    </w:p>
    <w:p>
      <w:pPr>
        <w:pStyle w:val="ListBullet"/>
        <w:spacing w:after="120"/>
      </w:pPr>
      <w:r>
        <w:rPr>
          <w:b/>
        </w:rPr>
        <w:t xml:space="preserve">Concept Centroid Deviation. </w:t>
      </w:r>
      <w:r>
        <w:t>For a fixed concept, prompt, block, and timestep, this is the spread of the concept's spatial centroid across several independent random seeds. A low value means the model places the concept in a consistent location regardless of the particular noise sample, which is evidence that the concept is genuinely represented rather than incidentally produced.</w:t>
      </w:r>
    </w:p>
    <w:p>
      <w:pPr>
        <w:pStyle w:val="ListBullet"/>
        <w:spacing w:after="120"/>
      </w:pPr>
      <w:r>
        <w:rPr>
          <w:b/>
        </w:rPr>
        <w:t xml:space="preserve">Cross-Concept Index. </w:t>
      </w:r>
      <w:r>
        <w:t>The cosine similarity between the spatial maps of two distinct concepts within the same image. Concepts that should be distinct, two different characters in a scene, or a concrete object and a metaphorical one, should occupy different regions of the image. A high cross-concept index flags cases where the model has conflated concepts that the prompt keeps separate.</w:t>
      </w:r>
    </w:p>
    <w:p>
      <w:pPr>
        <w:pStyle w:val="ListBullet"/>
        <w:spacing w:after="120"/>
      </w:pPr>
      <w:r>
        <w:rPr>
          <w:b/>
        </w:rPr>
        <w:t xml:space="preserve">Attention Concentration Index (ACI). </w:t>
      </w:r>
      <w:r>
        <w:t>Defined as one minus the normalized Shannon entropy of a concept's spatial map. A concentrated, confidently localized concept has low entropy and therefore a high ACI; a diffuse, uncertain one has high entropy and a low ACI.</w:t>
      </w:r>
    </w:p>
    <w:p>
      <w:pPr>
        <w:spacing w:before="200" w:after="80"/>
      </w:pPr>
      <w:r>
        <w:rPr>
          <w:b/>
          <w:sz w:val="24"/>
        </w:rPr>
        <w:t>3.5 Human Evaluation Infrastructure</w:t>
      </w:r>
    </w:p>
    <w:p>
      <w:pPr>
        <w:jc w:val="both"/>
      </w:pPr>
      <w:r>
        <w:t>Because the concept-level metrics above are only useful if they track something a human rater would actually notice, a self-hosted web application was built to collect human quality judgments. Raters see one image at a time, blind to which model produced it, alongside its source passage, and rate it on two dimensions on a one to five scale: prompt correctness and overall coherence. Sessions are tracked anonymously through a cookie so a rater can leave and resume, and the tool includes an informed consent screen describing the study, since this constitutes human subjects data collection for an ICLR submission. This tool is built and functional; the collection of a substantial pool of real human ratings is ongoing work.</w:t>
      </w:r>
    </w:p>
    <w:p>
      <w:pPr>
        <w:spacing w:before="320" w:after="120"/>
      </w:pPr>
      <w:r>
        <w:rPr>
          <w:b/>
          <w:sz w:val="28"/>
        </w:rPr>
        <w:t>4. Results</w:t>
      </w:r>
    </w:p>
    <w:p>
      <w:pPr>
        <w:spacing w:before="200" w:after="80"/>
      </w:pPr>
      <w:r>
        <w:rPr>
          <w:b/>
          <w:sz w:val="24"/>
        </w:rPr>
        <w:t>4.1 Standard Metric Benchmark</w:t>
      </w:r>
    </w:p>
    <w:p>
      <w:pPr>
        <w:jc w:val="both"/>
      </w:pPr>
      <w:r>
        <w:t>Table 1 reports the completed four-metric benchmark across all 600 images per model. SD3 leads on every one of the four metrics. The central open question this project is built around is whether that ranking is stable once mechanistic, and not only perceptual, measures of quality are taken into account.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D9D9D9"/>
          </w:tcPr>
          <w:p>
            <w:r/>
            <w:r>
              <w:rPr>
                <w:b/>
                <w:sz w:val="20"/>
              </w:rPr>
              <w:t>Metric</w:t>
            </w:r>
          </w:p>
        </w:tc>
        <w:tc>
          <w:tcPr>
            <w:tcW w:type="dxa" w:w="2340"/>
            <w:shd w:fill="D9D9D9"/>
          </w:tcPr>
          <w:p>
            <w:pPr>
              <w:jc w:val="right"/>
            </w:pPr>
            <w:r/>
            <w:r>
              <w:rPr>
                <w:b/>
                <w:sz w:val="20"/>
              </w:rPr>
              <w:t>SD3</w:t>
            </w:r>
          </w:p>
        </w:tc>
        <w:tc>
          <w:tcPr>
            <w:tcW w:type="dxa" w:w="2340"/>
            <w:shd w:fill="D9D9D9"/>
          </w:tcPr>
          <w:p>
            <w:pPr>
              <w:jc w:val="right"/>
            </w:pPr>
            <w:r/>
            <w:r>
              <w:rPr>
                <w:b/>
                <w:sz w:val="20"/>
              </w:rPr>
              <w:t>PixArt</w:t>
            </w:r>
          </w:p>
        </w:tc>
        <w:tc>
          <w:tcPr>
            <w:tcW w:type="dxa" w:w="2340"/>
            <w:shd w:fill="D9D9D9"/>
          </w:tcPr>
          <w:p>
            <w:pPr>
              <w:jc w:val="right"/>
            </w:pPr>
            <w:r/>
            <w:r>
              <w:rPr>
                <w:b/>
                <w:sz w:val="20"/>
              </w:rPr>
              <w:t>FLUX</w:t>
            </w:r>
          </w:p>
        </w:tc>
      </w:tr>
      <w:tr>
        <w:tc>
          <w:tcPr>
            <w:tcW w:type="dxa" w:w="2340"/>
          </w:tcPr>
          <w:p>
            <w:r/>
            <w:r>
              <w:rPr>
                <w:b w:val="0"/>
                <w:sz w:val="20"/>
              </w:rPr>
              <w:t>Inception Score</w:t>
            </w:r>
          </w:p>
        </w:tc>
        <w:tc>
          <w:tcPr>
            <w:tcW w:type="dxa" w:w="2340"/>
          </w:tcPr>
          <w:p>
            <w:pPr>
              <w:jc w:val="right"/>
            </w:pPr>
            <w:r/>
            <w:r>
              <w:rPr>
                <w:b w:val="0"/>
                <w:sz w:val="20"/>
              </w:rPr>
              <w:t>15.13</w:t>
            </w:r>
          </w:p>
        </w:tc>
        <w:tc>
          <w:tcPr>
            <w:tcW w:type="dxa" w:w="2340"/>
          </w:tcPr>
          <w:p>
            <w:pPr>
              <w:jc w:val="right"/>
            </w:pPr>
            <w:r/>
            <w:r>
              <w:rPr>
                <w:b w:val="0"/>
                <w:sz w:val="20"/>
              </w:rPr>
              <w:t>13.35</w:t>
            </w:r>
          </w:p>
        </w:tc>
        <w:tc>
          <w:tcPr>
            <w:tcW w:type="dxa" w:w="2340"/>
          </w:tcPr>
          <w:p>
            <w:pPr>
              <w:jc w:val="right"/>
            </w:pPr>
            <w:r/>
            <w:r>
              <w:rPr>
                <w:b w:val="0"/>
                <w:sz w:val="20"/>
              </w:rPr>
              <w:t>13.72</w:t>
            </w:r>
          </w:p>
        </w:tc>
      </w:tr>
      <w:tr>
        <w:tc>
          <w:tcPr>
            <w:tcW w:type="dxa" w:w="2340"/>
          </w:tcPr>
          <w:p>
            <w:r/>
            <w:r>
              <w:rPr>
                <w:b w:val="0"/>
                <w:sz w:val="20"/>
              </w:rPr>
              <w:t>VQAScore</w:t>
            </w:r>
          </w:p>
        </w:tc>
        <w:tc>
          <w:tcPr>
            <w:tcW w:type="dxa" w:w="2340"/>
          </w:tcPr>
          <w:p>
            <w:pPr>
              <w:jc w:val="right"/>
            </w:pPr>
            <w:r/>
            <w:r>
              <w:rPr>
                <w:b w:val="0"/>
                <w:sz w:val="20"/>
              </w:rPr>
              <w:t>0.641</w:t>
            </w:r>
          </w:p>
        </w:tc>
        <w:tc>
          <w:tcPr>
            <w:tcW w:type="dxa" w:w="2340"/>
          </w:tcPr>
          <w:p>
            <w:pPr>
              <w:jc w:val="right"/>
            </w:pPr>
            <w:r/>
            <w:r>
              <w:rPr>
                <w:b w:val="0"/>
                <w:sz w:val="20"/>
              </w:rPr>
              <w:t>0.617</w:t>
            </w:r>
          </w:p>
        </w:tc>
        <w:tc>
          <w:tcPr>
            <w:tcW w:type="dxa" w:w="2340"/>
          </w:tcPr>
          <w:p>
            <w:pPr>
              <w:jc w:val="right"/>
            </w:pPr>
            <w:r/>
            <w:r>
              <w:rPr>
                <w:b w:val="0"/>
                <w:sz w:val="20"/>
              </w:rPr>
              <w:t>0.623</w:t>
            </w:r>
          </w:p>
        </w:tc>
      </w:tr>
      <w:tr>
        <w:tc>
          <w:tcPr>
            <w:tcW w:type="dxa" w:w="2340"/>
          </w:tcPr>
          <w:p>
            <w:r/>
            <w:r>
              <w:rPr>
                <w:b w:val="0"/>
                <w:sz w:val="20"/>
              </w:rPr>
              <w:t>CLIP Score</w:t>
            </w:r>
          </w:p>
        </w:tc>
        <w:tc>
          <w:tcPr>
            <w:tcW w:type="dxa" w:w="2340"/>
          </w:tcPr>
          <w:p>
            <w:pPr>
              <w:jc w:val="right"/>
            </w:pPr>
            <w:r/>
            <w:r>
              <w:rPr>
                <w:b w:val="0"/>
                <w:sz w:val="20"/>
              </w:rPr>
              <w:t>0.225</w:t>
            </w:r>
          </w:p>
        </w:tc>
        <w:tc>
          <w:tcPr>
            <w:tcW w:type="dxa" w:w="2340"/>
          </w:tcPr>
          <w:p>
            <w:pPr>
              <w:jc w:val="right"/>
            </w:pPr>
            <w:r/>
            <w:r>
              <w:rPr>
                <w:b w:val="0"/>
                <w:sz w:val="20"/>
              </w:rPr>
              <w:t>0.214</w:t>
            </w:r>
          </w:p>
        </w:tc>
        <w:tc>
          <w:tcPr>
            <w:tcW w:type="dxa" w:w="2340"/>
          </w:tcPr>
          <w:p>
            <w:pPr>
              <w:jc w:val="right"/>
            </w:pPr>
            <w:r/>
            <w:r>
              <w:rPr>
                <w:b w:val="0"/>
                <w:sz w:val="20"/>
              </w:rPr>
              <w:t>0.220</w:t>
            </w:r>
          </w:p>
        </w:tc>
      </w:tr>
      <w:tr>
        <w:tc>
          <w:tcPr>
            <w:tcW w:type="dxa" w:w="2340"/>
          </w:tcPr>
          <w:p>
            <w:r/>
            <w:r>
              <w:rPr>
                <w:b w:val="0"/>
                <w:sz w:val="20"/>
              </w:rPr>
              <w:t>BLIP-2 Score</w:t>
            </w:r>
          </w:p>
        </w:tc>
        <w:tc>
          <w:tcPr>
            <w:tcW w:type="dxa" w:w="2340"/>
          </w:tcPr>
          <w:p>
            <w:pPr>
              <w:jc w:val="right"/>
            </w:pPr>
            <w:r/>
            <w:r>
              <w:rPr>
                <w:b w:val="0"/>
                <w:sz w:val="20"/>
              </w:rPr>
              <w:t>0.734</w:t>
            </w:r>
          </w:p>
        </w:tc>
        <w:tc>
          <w:tcPr>
            <w:tcW w:type="dxa" w:w="2340"/>
          </w:tcPr>
          <w:p>
            <w:pPr>
              <w:jc w:val="right"/>
            </w:pPr>
            <w:r/>
            <w:r>
              <w:rPr>
                <w:b w:val="0"/>
                <w:sz w:val="20"/>
              </w:rPr>
              <w:t>0.664</w:t>
            </w:r>
          </w:p>
        </w:tc>
        <w:tc>
          <w:tcPr>
            <w:tcW w:type="dxa" w:w="2340"/>
          </w:tcPr>
          <w:p>
            <w:pPr>
              <w:jc w:val="right"/>
            </w:pPr>
            <w:r/>
            <w:r>
              <w:rPr>
                <w:b w:val="0"/>
                <w:sz w:val="20"/>
              </w:rPr>
              <w:t>0.677</w:t>
            </w:r>
          </w:p>
        </w:tc>
      </w:tr>
    </w:tbl>
    <w:p>
      <w:pPr>
        <w:spacing w:before="80" w:after="280"/>
        <w:jc w:val="center"/>
      </w:pPr>
      <w:r>
        <w:rPr>
          <w:i/>
          <w:sz w:val="19"/>
        </w:rPr>
        <w:t>Table 1. Standard metric benchmark, 600 images per model, all values are per-model means.</w:t>
      </w:r>
    </w:p>
    <w:p>
      <w:pPr>
        <w:spacing w:before="200" w:after="80"/>
      </w:pPr>
      <w:r>
        <w:rPr>
          <w:b/>
          <w:sz w:val="24"/>
        </w:rPr>
        <w:t>4.2 Where the Standard Metrics Disagree With Each Other</w:t>
      </w:r>
    </w:p>
    <w:p>
      <w:pPr>
        <w:jc w:val="both"/>
      </w:pPr>
      <w:r>
        <w:t>Ranking every one of the 1,800 generated images by how far its CLIP score diverges from the average of its BLIP-2 and VQAScore values surfaces concrete, reproducible cases that match well-documented failure modes of CLIP-based scoring.</w:t>
      </w:r>
    </w:p>
    <w:p>
      <w:pPr>
        <w:jc w:val="both"/>
      </w:pPr>
      <w:r>
        <w:t>The clearest case is poem_0166, an SD3 generation of John Donne's “Song” (“Go and catch a falling star, get with child a mandrake root…”), a highly figurative, metaphorical text. CLIP scored this image 0.120, close to the lowest CLIP score recorded for any SD3 image in the benchmark, while BLIP-2 scored it 0.946 and VQAScore scored it 0.638. This matches CLIP's known weakness on figurative and abstract language, since it was trained primarily on literal photographic captions and has limited capacity to bridge metaphor to a literal visual scene.</w:t>
      </w:r>
    </w:p>
    <w:p>
      <w:pPr>
        <w:jc w:val="both"/>
      </w:pPr>
      <w:r>
        <w:t>A related case is story_0288, a FLUX generation of a generic passage (“people gathered around to take part in… had a wonderful time”) with no single salient, countable object. CLIP scored this image 0.148 against BLIP-2's 0.990 and VQAScore's 0.896. This matches CLIP's documented “bag of words” behavior: its global image-text similarity has little to latch onto when a passage describes a generic scene rather than naming specific, discriminable objects, whereas BLIP-2 and VQAScore, which reason over the full caption rather than a single embedding comparison, are not fooled in the same way.</w:t>
      </w:r>
    </w:p>
    <w:p>
      <w:pPr>
        <w:jc w:val="both"/>
      </w:pPr>
      <w:r>
        <w:t>A third case runs in the opposite direction. For story_0412, a PixArt generation of two girls having a mock stick fight over a boy's attention, CLIP scored the image 0.271, a moderate to high score, while BLIP-2 scored it 0.0001, essentially zero. Here CLIP's coarse global similarity appears satisfied by the presence of plausible elements (two people, an outdoor setting, water nearby) while missing the specific narrative action the passage describes, a detail that BLIP-2's finer-grained matching head is built to catch. This is included specifically because it demonstrates that the disagreement between metrics is not simply CLIP being uniformly too harsh: the direction of the disagreement depends on the kind of error a given image contains.</w:t>
      </w:r>
    </w:p>
    <w:p>
      <w:pPr>
        <w:spacing w:before="200" w:after="80"/>
      </w:pPr>
      <w:r>
        <w:rPr>
          <w:b/>
          <w:sz w:val="24"/>
        </w:rPr>
        <w:t>4.3 Mechanistic Metric Validation: Coverage</w:t>
      </w:r>
    </w:p>
    <w:p>
      <w:pPr>
        <w:jc w:val="both"/>
      </w:pPr>
      <w:r>
        <w:t>Before any mechanistic metric can be trusted, the extraction pipeline itself has to be shown to work correctly. The FLUX sixteen SAE grid was validated on a ten prompt sample and produced complete coverage: 320 of 320 expected rows (ten prompts, two seeds, sixteen block and timestep combinations), with zero missing cells. An earlier version of the pipeline had an off-by-one error in how the current denoising step was tracked relative to the transformer's forward pass, which silently dropped every row corresponding to the final denoising step across every block. This was caught by the coverage check on the ten prompt sample, root caused, and fixed prior to any of the results reported here.</w:t>
      </w:r>
    </w:p>
    <w:p>
      <w:pPr>
        <w:jc w:val="both"/>
      </w:pPr>
      <w:r>
        <w:t>Across the validated ten prompt sample, concept concentration values fell in the range 0.612 to 0.758, a moderate, non-degenerate range that indicates the trained SAEs are producing localized rather than uniform or collapsed spatial maps.</w:t>
      </w:r>
    </w:p>
    <w:p>
      <w:pPr>
        <w:spacing w:before="200" w:after="80"/>
      </w:pPr>
      <w:r>
        <w:rPr>
          <w:b/>
          <w:sz w:val="24"/>
        </w:rPr>
        <w:t>4.4 Preliminary Correlation With Standard Metrics</w:t>
      </w:r>
    </w:p>
    <w:p>
      <w:pPr>
        <w:jc w:val="both"/>
      </w:pPr>
      <w:r>
        <w:t>For SD3, an initial correlation pass was run against the ten images already covered by the standard metric benchmark, joining the two tables on each image's identifier. Average SAE concentration, pooled across the five blocks and three timesteps evaluated, was compared to each standard metric using Spearman rank correlation. Table 2 reports the result.</w:t>
      </w:r>
    </w:p>
    <w:tbl>
      <w:tblPr>
        <w:tblStyle w:val="LightGrid-Accent1"/>
        <w:tblW w:type="auto" w:w="0"/>
        <w:jc w:val="center"/>
        <w:tblLook w:firstColumn="1" w:firstRow="1" w:lastColumn="0" w:lastRow="0" w:noHBand="0" w:noVBand="1" w:val="04A0"/>
      </w:tblPr>
      <w:tblGrid>
        <w:gridCol w:w="4680"/>
        <w:gridCol w:w="4680"/>
      </w:tblGrid>
      <w:tr>
        <w:tc>
          <w:tcPr>
            <w:tcW w:type="dxa" w:w="4680"/>
            <w:shd w:fill="D9D9D9"/>
          </w:tcPr>
          <w:p>
            <w:r/>
            <w:r>
              <w:rPr>
                <w:b/>
                <w:sz w:val="20"/>
              </w:rPr>
              <w:t>Standard metric</w:t>
            </w:r>
          </w:p>
        </w:tc>
        <w:tc>
          <w:tcPr>
            <w:tcW w:type="dxa" w:w="4680"/>
            <w:shd w:fill="D9D9D9"/>
          </w:tcPr>
          <w:p>
            <w:pPr>
              <w:jc w:val="right"/>
            </w:pPr>
            <w:r/>
            <w:r>
              <w:rPr>
                <w:b/>
                <w:sz w:val="20"/>
              </w:rPr>
              <w:t>Spearman correlation with mean SAE concentration</w:t>
            </w:r>
          </w:p>
        </w:tc>
      </w:tr>
      <w:tr>
        <w:tc>
          <w:tcPr>
            <w:tcW w:type="dxa" w:w="4680"/>
          </w:tcPr>
          <w:p>
            <w:r/>
            <w:r>
              <w:rPr>
                <w:b w:val="0"/>
                <w:sz w:val="20"/>
              </w:rPr>
              <w:t>CLIP Score</w:t>
            </w:r>
          </w:p>
        </w:tc>
        <w:tc>
          <w:tcPr>
            <w:tcW w:type="dxa" w:w="4680"/>
          </w:tcPr>
          <w:p>
            <w:pPr>
              <w:jc w:val="right"/>
            </w:pPr>
            <w:r/>
            <w:r>
              <w:rPr>
                <w:b w:val="0"/>
                <w:sz w:val="20"/>
              </w:rPr>
              <w:t>0.333</w:t>
            </w:r>
          </w:p>
        </w:tc>
      </w:tr>
      <w:tr>
        <w:tc>
          <w:tcPr>
            <w:tcW w:type="dxa" w:w="4680"/>
          </w:tcPr>
          <w:p>
            <w:r/>
            <w:r>
              <w:rPr>
                <w:b w:val="0"/>
                <w:sz w:val="20"/>
              </w:rPr>
              <w:t>BLIP-2 Score</w:t>
            </w:r>
          </w:p>
        </w:tc>
        <w:tc>
          <w:tcPr>
            <w:tcW w:type="dxa" w:w="4680"/>
          </w:tcPr>
          <w:p>
            <w:pPr>
              <w:jc w:val="right"/>
            </w:pPr>
            <w:r/>
            <w:r>
              <w:rPr>
                <w:b w:val="0"/>
                <w:sz w:val="20"/>
              </w:rPr>
              <w:t>0.103</w:t>
            </w:r>
          </w:p>
        </w:tc>
      </w:tr>
      <w:tr>
        <w:tc>
          <w:tcPr>
            <w:tcW w:type="dxa" w:w="4680"/>
          </w:tcPr>
          <w:p>
            <w:r/>
            <w:r>
              <w:rPr>
                <w:b w:val="0"/>
                <w:sz w:val="20"/>
              </w:rPr>
              <w:t>VQAScore</w:t>
            </w:r>
          </w:p>
        </w:tc>
        <w:tc>
          <w:tcPr>
            <w:tcW w:type="dxa" w:w="4680"/>
          </w:tcPr>
          <w:p>
            <w:pPr>
              <w:jc w:val="right"/>
            </w:pPr>
            <w:r/>
            <w:r>
              <w:rPr>
                <w:b w:val="0"/>
                <w:sz w:val="20"/>
              </w:rPr>
              <w:t>0.576</w:t>
            </w:r>
          </w:p>
        </w:tc>
      </w:tr>
    </w:tbl>
    <w:p>
      <w:pPr>
        <w:spacing w:before="80" w:after="280"/>
        <w:jc w:val="center"/>
      </w:pPr>
      <w:r>
        <w:rPr>
          <w:i/>
          <w:sz w:val="19"/>
        </w:rPr>
        <w:t>Table 2. Spearman rank correlation, mean SAE concentration versus standard metrics, n = 10 images.</w:t>
      </w:r>
    </w:p>
    <w:p>
      <w:pPr>
        <w:jc w:val="both"/>
      </w:pPr>
      <w:r>
        <w:t>At this sample size the result should be read as directional rather than conclusive, but the pattern is notable: SAE concentration tracks VQAScore, the metric that reasons most explicitly about whether an image satisfies a prompt, considerably more closely than it tracks CLIP's coarse embedding similarity or BLIP-2's matching score. A broader run covering the full 600 image benchmark, using all five trained SD3 SAE blocks, is in progress at the time of writing, as is the corresponding sixteen SAE FLUX pass over its full 4,198 prompt training corpus.</w:t>
      </w:r>
    </w:p>
    <w:p>
      <w:pPr>
        <w:spacing w:before="320" w:after="120"/>
      </w:pPr>
      <w:r>
        <w:rPr>
          <w:b/>
          <w:sz w:val="28"/>
        </w:rPr>
        <w:t>5. Discussion and Limitations</w:t>
      </w:r>
    </w:p>
    <w:p>
      <w:pPr>
        <w:jc w:val="both"/>
      </w:pPr>
      <w:r>
        <w:t>The results above establish two things and leave one central question open. First, the standard metric benchmark is complete and internally consistent, and it surfaces concrete, explainable cases of disagreement between CLIP, BLIP-2, and VQAScore that match known properties of each metric rather than looking like noise. Second, the mechanistic extraction pipeline itself is validated: it produces complete, non-degenerate coverage across the full block and timestep grid for both FLUX and SD3, and an early correlation signal against the standard benchmark is present and directionally sensible.</w:t>
      </w:r>
    </w:p>
    <w:p>
      <w:pPr>
        <w:jc w:val="both"/>
      </w:pPr>
      <w:r>
        <w:t>What remains open is the question the project was built to answer: whether the concept-level metrics explain variance in actual human quality judgment that the standard metrics leave unexplained. A correlation between a mechanistic metric and another automated metric, however sensible the direction, is not itself evidence that the mechanistic metric is measuring something a human would care about. That requires a genuine incremental validity test: fitting the standard metrics to real human ratings, then testing whether the concept-level metrics predict the residual variance the standard metrics fail to capture. The human evaluation tool described in Section 3.5 exists specifically to make this test possible, and running it at a scale sufficient to support a regression analysis is the immediate next step for this project.</w:t>
      </w:r>
    </w:p>
    <w:p>
      <w:pPr>
        <w:jc w:val="both"/>
      </w:pPr>
      <w:r>
        <w:t>A second limitation is sample size in the correlation results reported in Section 4.4, which currently reflect ten prompts. Both the SD3 correlation run and the FLUX training run were scaled up to their full targets (600 prompts and 4,198 prompts respectively) at the time of writing, and the numbers in this section should be treated as an early checkpoint rather than a final result.</w:t>
      </w:r>
    </w:p>
    <w:p>
      <w:pPr>
        <w:spacing w:before="320" w:after="120"/>
      </w:pPr>
      <w:r>
        <w:rPr>
          <w:b/>
          <w:sz w:val="28"/>
        </w:rPr>
        <w:t>6. Conclusion and Future Work</w:t>
      </w:r>
    </w:p>
    <w:p>
      <w:pPr>
        <w:jc w:val="both"/>
      </w:pPr>
      <w:r>
        <w:t>This project has built and validated a complete pipeline for evaluating text-to-image diffusion models along two independent axes: a standard, four-metric perceptual benchmark, complete across all 1,800 generated images, and a mechanistic, sparse autoencoder based pipeline for decomposing a generated image into interpretable concepts and scoring their spatial reliability, consistency across seeds, and separation from one another. The standard benchmark alone already yields useful findings, including concrete, reproducible cases where CLIP's known blind spots on figurative language and generic scenes cause it to diverge sharply from BLIP-2 and VQAScore. The mechanistic pipeline is now producing complete, validated coverage for both FLUX and SD3, and an early correlation pass suggests its concept-level concentration metric tracks VQAScore more closely than it tracks CLIP.</w:t>
      </w:r>
    </w:p>
    <w:p>
      <w:pPr>
        <w:jc w:val="both"/>
      </w:pPr>
      <w:r>
        <w:t>The immediate priorities going forward are, first, to complete the full scale runs of both the SD3 correlation analysis and the FLUX sixteen SAE training pass that are currently in progress, and second, to collect a substantial pool of human quality ratings through the deployed evaluation tool so that the concept-level metrics can be tested against human judgment directly through an incremental validity regression, which is the result that would actually establish whether this mechanistic approach adds anything the standard metrics do not already provide.</w:t>
      </w:r>
    </w:p>
    <w:p>
      <w:pPr>
        <w:spacing w:before="320" w:after="120"/>
      </w:pPr>
      <w:r>
        <w:rPr>
          <w:b/>
          <w:sz w:val="28"/>
        </w:rPr>
        <w:t>References</w:t>
      </w:r>
    </w:p>
    <w:p>
      <w:pPr>
        <w:spacing w:after="80"/>
      </w:pPr>
      <w:r>
        <w:t>Tinaz, B., Fabian, Z., and Soltanolkotabi, M. Emergence and Evolution of Interpretable Concepts in Diffusion Models. NeurIPS 2025. arXiv:2504.15473.</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