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V3.10 Silver-stage pilot manuscript with a pre-registered gold validation protocol</w:t>
      </w:r>
    </w:p>
    <w:p>
      <w:r>
        <w:rPr>
          <w:b/>
        </w:rPr>
        <w:t xml:space="preserve">Date:</w:t>
      </w:r>
      <w:r>
        <w:t xml:space="preserve"> 2026-07-04</w:t>
      </w:r>
    </w:p>
    <w:p>
      <w:r>
        <w:rPr>
          <w:b/>
        </w:rPr>
        <w:t xml:space="preserve">Status note:</w:t>
      </w:r>
      <w:r>
        <w:t xml:space="preserve"> Gold validation is planned and pre-registered (§VII) but not yet completed. All numeric results in §VI are silver-stage pilot results computed against AI-preannotated, author-screened labels. The gold validation slots (Tables G1–G3) are designed so that gold results can be inserted without restructuring the paper.</w:t>
      </w:r>
    </w:p>
    <w:p>
      <w:r>
        <w:rPr>
          <w:b/>
        </w:rPr>
        <w:t xml:space="preserve">Changes from V3.9:</w:t>
      </w:r>
      <w:r>
        <w:t xml:space="preserve"> Advisor-ready minor revision. Wording and framing pass only — no new experiments, no API calls, no model runs, no gold annotation, no modification of original data, no change to numeric results. Title page reframed from the prior V3.9 "not submission-ready" status line to "silver-stage pilot manuscript with a pre-registered gold validation protocol" to lead with what the paper </w:t>
      </w:r>
      <w:r>
        <w:rPr>
          <w:i/>
        </w:rPr>
        <w:t xml:space="preserve">is</w:t>
      </w:r>
      <w:r>
        <w:t xml:space="preserve"> rather than what it </w:t>
      </w:r>
      <w:r>
        <w:rPr>
          <w:i/>
        </w:rPr>
        <w:t xml:space="preserve">isn't yet</w:t>
      </w:r>
      <w:r>
        <w:t xml:space="preserve">. §VI Results opener adds an explicit conditional framing sentence. "On silver labels" qualifiers are added to key numeric claims in §VI. The V3.9 status qualifier (used ~19 times) is reduced to 4 occurrences (Abstract, §VI opener, §VII opener, §X Conclusion); other uses are replaced with "silver-stage", "pilot-stage", "planned gold validation", or "validation-pending". Contributions (§I) are reframed as pilot contributions. §VIII.A adds the R4 screening rationale with an FP/TP estimate (~4.9) from existing data. §III.C states explicitly that the separability of strong_action_overclaim is a hypothesis tested by the planned gold validation. §VI.D is reframed as an "external transferability probe" rather than "external validation." V3.9 is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a more frequent failure mode is that evidence is topically relevant but does not justify the </w:t>
      </w:r>
      <w:r>
        <w:rPr>
          <w:i/>
        </w:rPr>
        <w:t xml:space="preserve">strength</w:t>
      </w:r>
      <w:r>
        <w:t xml:space="preserve"> of the claim — particularly when a claim asserts deployment readiness, actionability, safety, or operational conclusions on the basis of limited experimental evidence. We call this task </w:t>
      </w:r>
      <w:r>
        <w:rPr>
          <w:b/>
        </w:rPr>
        <w:t xml:space="preserve">evidence sufficiency calibration</w:t>
      </w:r>
      <w:r>
        <w:t xml:space="preserve">, formulated as a four-class relation problem: supported, mild_scope_overclaim, strong_action_overclaim, and contradiction_candidate. We present CESE-OCN R4, a mixed relation-routing framework that complements generic LLM/NLI judges via a contradiction detector, a scope-calibration residual classifier, and a conservative strong-action escalation route. On a silver-label pilot of 444 pairs across six domains, R4 improves strong_action positive-F1 from 0.2408 to 0.3967 while preserving contradiction performance. On 200 matched samples, DeepSeek-V3 reaches macro-F1 0.5270 but strong_action-F1 only 0.0769 (recall 0.04). On 100 matched samples, GPT-5.5 standard and structured prompts both yield strong_action-F1 0.0769, while R4 reaches 0.3000 — but with substantially lower overall macro-F1 (0.3280 vs. 0.5523). R4 is positioned as a relation-specific complement, not a replacement. </w:t>
      </w:r>
      <w:r>
        <w:rPr>
          <w:b/>
        </w:rPr>
        <w:t xml:space="preserve">All results are silver-stage pilot findings; the LLM comparison is prompt/model/sample-specific. A pre-gold validation protocol is pre-registered in §VII but not yet populated.</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w:t>
      </w:r>
      <w:r>
        <w:t xml:space="preserve"> for scientific claim calibration, where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most consequential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silver labels, GPT-5.5 macro-F1 = 0.5523, DeepSeek-V3 macro-F1 = 0.5270 on matched samples), but they </w:t>
      </w:r>
      <w:r>
        <w:rPr>
          <w:b/>
        </w:rPr>
        <w:t xml:space="preserve">under-detect strong_action_overclaim on the tested samples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single tested prompt setting (Figure 3). </w:t>
      </w:r>
      <w:r>
        <w:rPr>
          <w:b/>
        </w:rPr>
        <w:t xml:space="preserve">This is a silver-stage finding computed against silver labels; it cannot be treated as an established under-detection pattern until independent gold adjudication is completed (§VII).</w:t>
      </w:r>
    </w:p>
    <w:p>
      <w:r>
        <w:t xml:space="preserve">We therefore position CESE-OCN R4 as a </w:t>
      </w:r>
      <w:r>
        <w:rPr>
          <w:b/>
        </w:rPr>
        <w:t xml:space="preserve">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silver labels (absolute gap +0.2231). </w:t>
      </w:r>
      <w:r>
        <w:rPr>
          <w:b/>
        </w:rPr>
        <w:t xml:space="preserve">R4 is not the strongest model on overall macro-F1 — LLM judges retain that, with GPT-5.5 at 0.5523 vs. R4 at 0.3280 on the matched 100 — but it provides targeted value on the relation that LLM judges miss under the tested prompts.</w:t>
      </w:r>
      <w:r>
        <w:t xml:space="preserve"> This positioning as a relation-specific complement, rather than a competitive replacement, is central to the paper's contribution.</w:t>
      </w:r>
    </w:p>
    <w:p>
      <w:r>
        <w:t xml:space="preserve">This manuscript makes four pilot contributions:</w:t>
      </w:r>
    </w:p>
    <w:p>
      <w:r>
        <w:t xml:space="preserve">(i) We propose a </w:t>
      </w:r>
      <w:r>
        <w:rPr>
          <w:b/>
        </w:rPr>
        <w:t xml:space="preserve">pilot taxonomy</w:t>
      </w:r>
      <w:r>
        <w:t xml:space="preserve"> for scientific claim calibration — evidence sufficiency calibration as a four-class relation task distinguishing strong_action_overclaim from generic support/refutation/NEI — with concrete taxonomy examples (Table 0) and an operational decision tree (Figure 2). The separability of strong_action_overclaim is a hypothesis to be tested by the planned gold validation (§VII), not an assumption taken as already proven.</w:t>
      </w:r>
    </w:p>
    <w:p>
      <w:r>
        <w:t xml:space="preserve">(ii) We construct a </w:t>
      </w:r>
      <w:r>
        <w:rPr>
          <w:b/>
        </w:rPr>
        <w:t xml:space="preserve">silver-stage SimClaim diagnostic set</w:t>
      </w:r>
      <w:r>
        <w:t xml:space="preserve"> of 444 claim-evidence pairs across 111 evidence groups and six domains, with AI-preannotated and author-screened labels, and an author sanity audit of 40 silver labels that explicitly flags 25/40 as questionable or unclear.</w:t>
      </w:r>
    </w:p>
    <w:p>
      <w:r>
        <w:t xml:space="preserve">(iii) We evaluate whether LLM judges under-detect strong_action_overclaim under tested prompts, and introduce </w:t>
      </w:r>
      <w:r>
        <w:rPr>
          <w:b/>
        </w:rPr>
        <w:t xml:space="preserve">CESE-OCN R4</w:t>
      </w:r>
      <w:r>
        <w:t xml:space="preserve">, a conservative strong-action router as a mixed relation-routing framework that complements black-box LLM judges, with explicit acknowledgment that R4 sacrifices overall macro-F1 for targeted strong_action recall.</w:t>
      </w:r>
    </w:p>
    <w:p>
      <w:r>
        <w:t xml:space="preserve">(iv) We </w:t>
      </w:r>
      <w:r>
        <w:rPr>
          <w:b/>
        </w:rPr>
        <w:t xml:space="preserve">pre-register a gold validation protocol</w:t>
      </w:r>
      <w:r>
        <w:t xml:space="preserve"> (§VII) with frozen success and downgrade criteria, and report a matched-sample LLM judge comparison (DeepSeek-V3, GPT-5.5 standard, GPT-5.5 structured) showing that under the tested prompts, the structured decomposition design does not improve strong_action detection, while R4 provides complementary value on this relation — bounded by silver-label and single-run limitations.</w:t>
      </w:r>
    </w:p>
    <w:p>
      <w:r>
        <w:t xml:space="preserve">The remainder of the paper is organized as follows: §II positions the work; §III formulates the task and provides taxonomy examples (Table 0) and the decision tree (Figure 2); §IV describes the CESE-OCN R4 framework (Figure 1); §V describes the data and protocol; §VI reports silver-stage results (Figure 3, Tables 1-3); </w:t>
      </w:r>
      <w:r>
        <w:rPr>
          <w:b/>
        </w:rPr>
        <w:t xml:space="preserve">§VII specifies the Planned Gold Validation, including placeholder Tables G1-G3 and pre-registered success/downgrade criteria</w:t>
      </w:r>
      <w:r>
        <w:t xml:space="preserve">; §VIII discusses implications;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r>
        <w:t xml:space="preserve">The closest recent line to our framing is scientific overstatement and evidence-aligned claim evaluation. RIGOURATE explicitly quantifies scientific exaggeration by aligning paper claims with supporting evidence and predicting overstatement scores [30], while the evidence-licensed claims perspective frames scientific writing as a problem of calibrating assertion rights to available evidence [31]. CESE-OCN differs by operationalizing this idea as a four-class claim-evidence relation taxonomy with a relation-specific router for strong_action_overclaim.</w:t>
      </w:r>
    </w:p>
    <w:p>
      <w:r>
        <w:t xml:space="preserve">The current silver-stage findings suggest that contradiction, scope shift, and action escalation should not be treated as identical classification errors.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silver labels, baseline strong-F1 0.2408), and why a relation-specific router (R4, silver-stage strong-F1 0.3967) is needed. Whether this pattern holds under gold adjudication is the subject of §VII.</w:t>
      </w:r>
    </w:p>
    <w:p>
      <w:r>
        <w:t xml:space="preserve">The revised manuscript is a </w:t>
      </w:r>
      <w:r>
        <w:rPr>
          <w:b/>
        </w:rPr>
        <w:t xml:space="preserve">pilot diagnostic study</w:t>
      </w:r>
      <w:r>
        <w:t xml:space="preserve"> of an evidence-sufficiency calibration framework with a relation-specific router. It is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pilot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not as gold adjudications.</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future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Core Hard Case</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planned gold validation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w:t>
      </w:r>
    </w:p>
    <w:p>
      <w:pPr>
        <w:pStyle w:val="Heading2"/>
      </w:pPr>
      <w:r>
        <w:t xml:space="preserve">IV. CESE-OCN 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silver-stage pilot diagnostic results are consistent with this: contradiction is comparatively well captured by NLI-style evidence signals (on silver labels,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silver labels,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diagnostic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Silver-Label Pilot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should not be described as human-gold.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pilot,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not ready to be treated as gold.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must be interpreted as </w:t>
      </w:r>
      <w:r>
        <w:rPr>
          <w:b/>
        </w:rPr>
        <w:t xml:space="preserve">silver-stage diagnostic evidence, pending independent gold adjudication</w:t>
      </w:r>
      <w:r>
        <w:t xml:space="preserve"> — not as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future gold adjudication priority; `trusted_case_bank.csv` (18 cases, ≥4 per class) provides clear illustrative cases for paper examples — none of which are claimed as gold. The full audit is in `author_sanity_audit_40.csv`.</w:t>
      </w:r>
    </w:p>
    <w:p>
      <w:pPr>
        <w:pStyle w:val="Heading3"/>
      </w:pPr>
      <w:r>
        <w:t xml:space="preserve">E. Exploratory Framing</w:t>
      </w:r>
    </w:p>
    <w:p>
      <w:r>
        <w:t xml:space="preserve">Because the dataset is small, silver-labeled, and the author sanity audit flags substantial label uncertainty, all results are framed as </w:t>
      </w:r>
      <w:r>
        <w:rPr>
          <w:b/>
        </w:rPr>
        <w:t xml:space="preserve">silver-stage pilot diagnostic findings</w:t>
      </w:r>
      <w:r>
        <w:t xml:space="preserve">. A higher-tier confirmatory submission would require 300–500 independently adjudicated claim-evidence pairs, inter-annotator agreement statistics, significance tests against stronger external baselines, and external validation. The planned gold validation (§VII) is the next step toward that target.</w:t>
      </w:r>
    </w:p>
    <w:p>
      <w:pPr>
        <w:pStyle w:val="Heading2"/>
      </w:pPr>
      <w:r>
        <w:t xml:space="preserve">VI. Results (Silver-Stage)</w:t>
      </w:r>
    </w:p>
    <w:p>
      <w:pPr>
        <w:pStyle w:val="TableCell"/>
      </w:pPr>
      <w:r>
        <w:rPr>
          <w:b/>
        </w:rPr>
        <w:t xml:space="preserve">All numerical results in this section are silver-stage pilot results computed against AI-preannotated, author-screened silver labels. If the planned gold adjudication in §VII supports the silver labels, these patterns will be treated as validated pilot findings; otherwise, the affected claims will be downgraded according to the pre-registered criteria in §VII.G.</w:t>
      </w:r>
      <w:r>
        <w:t xml:space="preserve"> These are pre-gold findings; they are not gold benchmark numbers. The planned gold validation in §VII specifies how these numbers will be re-evaluated once gold labels are available.</w:t>
      </w:r>
    </w:p>
    <w:p>
      <w:pPr>
        <w:pStyle w:val="Heading3"/>
      </w:pPr>
      <w:r>
        <w:t xml:space="preserve">A. Internal Silver Diagnostic Results (Table 1)</w:t>
      </w:r>
    </w:p>
    <w:p>
      <w:r>
        <w:t xml:space="preserve">The strongest silver-stage result is that, </w:t>
      </w:r>
      <w:r>
        <w:rPr>
          <w:b/>
        </w:rPr>
        <w:t xml:space="preserve">on silver labels</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(silver-label pilot,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silver labels,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LIMITATION, not a feature: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silver labels.</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silver labels.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silver labels, LLMs are stronger overall, but R4 targets the strong_action gap observed under the tested prompts.</w:t>
      </w:r>
    </w:p>
    <w:p>
      <w:r>
        <w:rPr>
          <w:b/>
        </w:rPr>
        <w:t xml:space="preserve">Key findings (all computed on silver labels):</w:t>
      </w:r>
    </w:p>
    <w:p>
      <w:pPr>
        <w:pStyle w:val="ListNumber"/>
      </w:pPr>
      <w:r>
        <w:rPr>
          <w:b/>
        </w:rPr>
        <w:t xml:space="preserve">On silver labels,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silver labels (precision 1.0, recall 0.04 = 1/25), while reaching macro-F1 0.5270 and contradiction-F1 0.8317 — strong overall, missing strong_action.</w:t>
      </w:r>
    </w:p>
    <w:p>
      <w:pPr>
        <w:pStyle w:val="ListNumber"/>
      </w:pPr>
      <w:r>
        <w:rPr>
          <w:b/>
        </w:rPr>
        <w:t xml:space="preserve">On silver labels,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silver labels)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silver labels,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value on strong_action_overclaim,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validation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future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Planned Gold Validation</w:t>
      </w:r>
    </w:p>
    <w:p>
      <w:pPr>
        <w:pStyle w:val="TableCell"/>
      </w:pPr>
      <w:r>
        <w:t xml:space="preserve">This section specifies the planned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pre-gold validation plan; the results will be filled in after the 50-sample gold pilot is completed.</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silver labels,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but is not sufficient to support confirmatory benchmark claims.</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Claim</w:t>
      </w:r>
    </w:p>
    <w:p>
      <w:r>
        <w:rPr>
          <w:b/>
        </w:rPr>
        <w:t xml:space="preserve">The downgrade criteria in §VII.G specify what happens if gold does not support the silver-stage findings.</w:t>
      </w:r>
      <w:r>
        <w:t xml:space="preserve"> Until gold results are available, all claims in this manuscript should be read as silver-stage findings on silver labels,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silver labels,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most consequential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complementary positioning,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silver labels,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may be acceptable as a high-recall screening layer for human or LLM-assisted review.</w:t>
      </w:r>
      <w:r>
        <w:t xml:space="preserve"> Whether the macro-F1 gap is an acceptable trade-off depends on the downstream use case — for action-overclaim monitoring where missing a strong_action case is costly, the trade-off may be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silver labels,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Independent gold validation (§VII) is required before this silver-stage pattern can be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future gold adjudication priority.</w:t>
      </w:r>
    </w:p>
    <w:p>
      <w:pPr>
        <w:pStyle w:val="Heading3"/>
      </w:pPr>
      <w:r>
        <w:t xml:space="preserve">D.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should be reported with clear silver-label limitations, without claims of final benchmark readiness, and without claims that R4 outperforms LLM judges overall.</w:t>
      </w:r>
    </w:p>
    <w:p>
      <w:pPr>
        <w:pStyle w:val="Heading2"/>
      </w:pPr>
      <w:r>
        <w:t xml:space="preserve">IX. Limitations</w:t>
      </w:r>
    </w:p>
    <w:p>
      <w:r>
        <w:t xml:space="preserve">This work is a </w:t>
      </w:r>
      <w:r>
        <w:rPr>
          <w:b/>
        </w:rPr>
        <w:t xml:space="preserve">diagnostic pilot study</w:t>
      </w:r>
      <w:r>
        <w:t xml:space="preserve">, not a confirmatory benchmark. The limitations below define the boundary of what the current results do and do not support.</w:t>
      </w:r>
    </w:p>
    <w:p>
      <w:pPr>
        <w:pStyle w:val="ListNumber"/>
      </w:pPr>
      <w:r>
        <w:rPr>
          <w:b/>
        </w:rPr>
        <w:t xml:space="preserve">Silver labels are not gold labels.</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silver-stage findings on the silver set. We do not claim gold/human-audited performance, human kappa, or Q1 readiness from silver data alone. The LLM under-detection finding (§VI.B) is computed against these silver labels and must be interpreted as silver-stage diagnostic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(silver labels), R4 macro-F1 = 0.3280 vs. GPT-5.5 = 0.5523 (gap 0.22). R4 is a relation-specific diagnostic complement, not a general-purpose classifier. It sacrifices macro-F1 for strong_action recall. We do not claim R4 is better than LLM judges overall — we claim R4 provides targeted value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silver labels, R4 strong-F1 = 0.3967, LLM strong-F1 = 0.0769) should be read as silver-stage diagnostic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silver-stage pilot manuscript with a pre-registered gold validation protocol.</w:t>
      </w:r>
      <w:r>
        <w:t xml:space="preserve"> The gold validation section (§VII) is specified but not yet populated; all gold-related entries are marked `TO_BE_FILLED_AFTER_GOLD`. Final submission claims should be revised after gold results are available. If gold does not support the current taxonomy, the paper will be downgraded per the pre-registered criteria in §VII.G rather than re-tuned against gold.</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pilot, N ≤ 200" and are never merged with SimClaim main results or claimed as gold standard.</w:t>
      </w:r>
    </w:p>
    <w:p>
      <w:r>
        <w:t xml:space="preserve">These limitations do not invalidate the framework — they bound the strength of its claims. The contribution is a falsifiable framework and a frozen main method whose numeric claims are constrained by the paper-ready result pack, positioned as a silver-stage diagnostic complement to LLM judges rather than a competitive replacement.</w:t>
      </w:r>
    </w:p>
    <w:p>
      <w:pPr>
        <w:pStyle w:val="Heading2"/>
      </w:pPr>
      <w:r>
        <w:t xml:space="preserve">X. Conclusion</w:t>
      </w:r>
    </w:p>
    <w:p>
      <w:r>
        <w:t xml:space="preserve">This revision reframes CESE-OCN as an </w:t>
      </w:r>
      <w:r>
        <w:rPr>
          <w:b/>
        </w:rPr>
        <w:t xml:space="preserve">evidence sufficiency calibration</w:t>
      </w:r>
      <w:r>
        <w:t xml:space="preserve"> framework, rather than a generic claim verification system.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w:t>
      </w:r>
    </w:p>
    <w:p>
      <w:r>
        <w:t xml:space="preserve">On silver labels,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on silver labels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complement to black-box LLM judges, not a replacement.</w:t>
      </w:r>
      <w:r>
        <w:t xml:space="preserve"> On silver labels, LLM judges retain substantially higher overall macro-F1 (GPT-5.5: 0.5523 vs. R4: 0.3280 on matched 100) and contradiction-F1; R4 targets the specific relation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t xml:space="preserve">The result is promising but </w:t>
      </w:r>
      <w:r>
        <w:rPr>
          <w:b/>
        </w:rPr>
        <w:t xml:space="preserve">pre-gold</w:t>
      </w:r>
      <w:r>
        <w:t xml:space="preserve">. The author sanity audit flags 62.5% of silver labels as questionable or unclear, reinforcing that independent gold adjudication (§VII) is required before the LLM under-detection finding can be treated as established. The paper should be reported with clear silver-label limitations, without claims of final benchmark readiness, and without claims that R4 outperforms LLM judges overall. R4 provides targeted value for strong_action_overclaim detection and evidence sufficiency calibration — as a complement to LLM judges, not a replacement. </w:t>
      </w:r>
      <w:r>
        <w:rPr>
          <w:b/>
        </w:rPr>
        <w:t xml:space="preserve">The current silver-stage evidence motivates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current silver diagnostic set, R4 improves strong-action positive-F1 from 0.2408 to 0.3967 while preserving contradiction and escalation performance."</w:t>
      </w:r>
    </w:p>
    <w:p>
      <w:pPr>
        <w:pStyle w:val="ListBullet"/>
      </w:pPr>
      <w:r>
        <w:t xml:space="preserve">"On silver-label pilot data,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tested silver-label samples — a silver-stage finding pending gold validation."</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relation-specific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independent gold adjudication (§VII) is required."</w:t>
      </w:r>
    </w:p>
    <w:p>
      <w:pPr>
        <w:pStyle w:val="ListBullet"/>
      </w:pPr>
      <w:r>
        <w:t xml:space="preserve">"The mixed framework is positioned as a silver-stage action-overclaim diagnostic, not a final calibrated benchmark."</w:t>
      </w:r>
    </w:p>
    <w:p>
      <w:pPr>
        <w:pStyle w:val="ListBullet"/>
      </w:pPr>
      <w:r>
        <w:t xml:space="preserve">"The current silver-stage evidence motivates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"silver-stage under-detection pattern under the tested prompts" instead)</w:t>
      </w:r>
    </w:p>
    <w:p>
      <w:pPr>
        <w:pStyle w:val="ListBullet"/>
      </w:pPr>
      <w:r>
        <w:t xml:space="preserve">"Validated taxonomy." (use "frozen taxonomy pending gold validation" instead)</w:t>
      </w:r>
    </w:p>
    <w:p>
      <w:pPr>
        <w:pStyle w:val="ListBullet"/>
      </w:pPr>
      <w:r>
        <w:t xml:space="preserve">"Final proof." (use "silver-stage finding" instead)</w:t>
      </w:r>
    </w:p>
    <w:p>
      <w:pPr>
        <w:pStyle w:val="ListBullet"/>
      </w:pPr>
      <w:r>
        <w:t xml:space="preserve">"Gold benchmark." (use "silver-stage pilot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(this is a silver-stage pilot manuscript; gold validation is planned but not completed)</w:t>
      </w:r>
    </w:p>
    <w:p>
      <w:pPr>
        <w:pStyle w:val="Heading3"/>
      </w:pPr>
      <w:r>
        <w:t xml:space="preserve">Cautious language (preferred):</w:t>
      </w:r>
    </w:p>
    <w:p>
      <w:pPr>
        <w:pStyle w:val="ListBullet"/>
      </w:pPr>
      <w:r>
        <w:t xml:space="preserve">"under the tested prompts" / "under this tested setting"</w:t>
      </w:r>
    </w:p>
    <w:p>
      <w:pPr>
        <w:pStyle w:val="ListBullet"/>
      </w:pPr>
      <w:r>
        <w:t xml:space="preserve">"on the current silver diagnostic set" / "on the 100 matched samples" / "on silver labels"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silver-label pilot data" / "AI-preannotated, author-screened labels"</w:t>
      </w:r>
    </w:p>
    <w:p>
      <w:pPr>
        <w:pStyle w:val="ListBullet"/>
      </w:pPr>
      <w:r>
        <w:t xml:space="preserve">"silver-stage pilot diagnostic study" / "not fully adjudicated gold"</w:t>
      </w:r>
    </w:p>
    <w:p>
      <w:pPr>
        <w:pStyle w:val="ListBullet"/>
      </w:pPr>
      <w:r>
        <w:t xml:space="preserve">"suggests" / "is consistent with" / "does not support"</w:t>
      </w:r>
    </w:p>
    <w:p>
      <w:pPr>
        <w:pStyle w:val="ListBullet"/>
      </w:pPr>
      <w:r>
        <w:t xml:space="preserve">"complements black-box LLM judges"</w:t>
      </w:r>
    </w:p>
    <w:p>
      <w:pPr>
        <w:pStyle w:val="ListBullet"/>
      </w:pPr>
      <w:r>
        <w:t xml:space="preserve">"evidence sufficiency rather than generic factuality"</w:t>
      </w:r>
    </w:p>
    <w:p>
      <w:pPr>
        <w:pStyle w:val="ListBullet"/>
      </w:pPr>
      <w:r>
        <w:t xml:space="preserve">"relation-specific complement" / "silver-stage diagnostic, not benchmark"</w:t>
      </w:r>
    </w:p>
    <w:p>
      <w:pPr>
        <w:pStyle w:val="ListBullet"/>
      </w:pPr>
      <w:r>
        <w:t xml:space="preserve">"pending independent gold validation (§VII)"</w:t>
      </w:r>
    </w:p>
    <w:p>
      <w:pPr>
        <w:pStyle w:val="ListBullet"/>
      </w:pPr>
      <w:r>
        <w:t xml:space="preserve">"silver-stage evidence motivates gold validation rather than replacing it"</w:t>
      </w:r>
    </w:p>
    <w:p>
      <w:pPr>
        <w:pStyle w:val="Heading2"/>
      </w:pPr>
      <w:r>
        <w:t xml:space="preserve">References</w:t>
      </w:r>
    </w:p>
    <w:p>
      <w:r>
        <w:t xml:space="preserve">[1] J. Thorne, A. Vlachos, C. Christodoulopoulos, and A. Mittal. 2018. FEVER: a Large-scale Dataset for Fact Extraction and VERification. NAACL-HLT.</w:t>
      </w:r>
    </w:p>
    <w:p>
      <w:r>
        <w:t xml:space="preserve">[2] S. R. Bowman, G. Angeli, C. Potts, and C. D. Manning. 2015. A large annotated corpus for learning natural language inference. EMNLP.</w:t>
      </w:r>
    </w:p>
    <w:p>
      <w:r>
        <w:t xml:space="preserve">[3] A. Wadden et al. 2020. Fact or Fiction: Verifying Scientific Claims. EMNLP.</w:t>
      </w:r>
    </w:p>
    <w:p>
      <w:r>
        <w:t xml:space="preserve">[4] P. McCullagh. 1980. Regression models for ordinal data. JRSS Series B, 42(2):109-142.</w:t>
      </w:r>
    </w:p>
    <w:p>
      <w:r>
        <w:t xml:space="preserve">[5] F. Samejima. 1969. Estimation of latent ability using a response pattern of graded scores. Psychometrika Monograph Supplement, No. 17.</w:t>
      </w:r>
    </w:p>
    <w:p>
      <w:r>
        <w:t xml:space="preserve">[6] W. Cao, V. Mirjalili, and S. Raschka. 2020. Rank consistent ordinal regression for neural networks. Pattern Recognition Letters / arXiv:1901.07884.</w:t>
      </w:r>
    </w:p>
    <w:p>
      <w:r>
        <w:t xml:space="preserve">[7] X. Shi, W. Cao, and S. Raschka. 2021. Deep Neural Networks for Rank-Consistent Ordinal Regression Based on Conditional Probabilities. arXiv:2111.08851.</w:t>
      </w:r>
    </w:p>
    <w:p>
      <w:r>
        <w:t xml:space="preserve">[8] M. Schlichtkrull et al. 2018. Modeling Relational Data with Graph Convolutional Networks. ESWC.</w:t>
      </w:r>
    </w:p>
    <w:p>
      <w:r>
        <w:t xml:space="preserve">[9] R. G. Sargent. 2013. Verification and validation of simulation models. Journal of Simulation, 7(1):12-24.</w:t>
      </w:r>
    </w:p>
    <w:p>
      <w:r>
        <w:t xml:space="preserve">[10] J. Pearl. 2009. Causality: Models, Reasoning, and Inference, 2nd ed. Cambridge University Press.</w:t>
      </w:r>
    </w:p>
    <w:p>
      <w:r>
        <w:t xml:space="preserve">[11] R. L. Keeney and H. Raiffa. 1976. Decisions with Multiple Objectives: Preferences and Value Tradeoffs. Wiley.</w:t>
      </w:r>
    </w:p>
    <w:p>
      <w:r>
        <w:t xml:space="preserve">[12] S. Es, J. James, L. Espinosa-Anke, and S. Schockaert. 2024. RAGAs: Automated Evaluation of Retrieval Augmented Generation. EACL Demo.</w:t>
      </w:r>
    </w:p>
    <w:p>
      <w:r>
        <w:t xml:space="preserve">[13] J. Saad-Falcon, O. Khattab, C. Potts, and M. Zaharia. 2024. ARES: An Automated Evaluation Framework for Retrieval-Augmented Generation Systems. NAACL.</w:t>
      </w:r>
    </w:p>
    <w:p>
      <w:r>
        <w:t xml:space="preserve">[14] Y. Liu et al. 2023. G-Eval: NLG Evaluation using GPT-4 with Better Human Alignment. EMNLP.</w:t>
      </w:r>
    </w:p>
    <w:p>
      <w:r>
        <w:t xml:space="preserve">[15] L. Zheng et al. 2023. Judging LLM-as-a-Judge with MT-Bench and Chatbot Arena. NeurIPS.</w:t>
      </w:r>
    </w:p>
    <w:p>
      <w:r>
        <w:t xml:space="preserve">[16] S. S. Stevens. 1946. On the theory of scales of measurement. Science, 103(2684):677-680.</w:t>
      </w:r>
    </w:p>
    <w:p>
      <w:r>
        <w:t xml:space="preserve">[17] S. Messick. 1995. Validity of psychological assessment. American Psychologist, 50(9):741-749.</w:t>
      </w:r>
    </w:p>
    <w:p>
      <w:r>
        <w:t xml:space="preserve">[18] K. Krippendorff. 2018. Content Analysis: An Introduction to Its Methodology, 4th ed. SAGE.</w:t>
      </w:r>
    </w:p>
    <w:p>
      <w:r>
        <w:t xml:space="preserve">[19] J. Cohen. 1960. A coefficient of agreement for nominal scales. Educational and Psychological Measurement, 20(1):37-46.</w:t>
      </w:r>
    </w:p>
    <w:p>
      <w:r>
        <w:t xml:space="preserve">[20] B. Ellis et al. 2023. SMACv2: An Improved Benchmark for Cooperative Multi-Agent Reinforcement Learning. arXiv.</w:t>
      </w:r>
    </w:p>
    <w:p>
      <w:r>
        <w:t xml:space="preserve">[21] C. Baillie et al. 2020. CybORG: An Autonomous Cyber Operations Research Gym. arXiv:2002.10667.</w:t>
      </w:r>
    </w:p>
    <w:p>
      <w:r>
        <w:t xml:space="preserve">[22] J. K. Terry et al. 2021. PettingZoo: Gym for Multi-Agent Reinforcement Learning. NeurIPS.</w:t>
      </w:r>
    </w:p>
    <w:p>
      <w:r>
        <w:t xml:space="preserve">[23] J. Z. Leibo et al. 2021. Scalable Evaluation of Multi-Agent Reinforcement Learning with Melting Pot. ICML.</w:t>
      </w:r>
    </w:p>
    <w:p>
      <w:r>
        <w:t xml:space="preserve">[24] DeepSeek-AI. 2024. DeepSeek-V3 Technical Report. arXiv:2412.19437.</w:t>
      </w:r>
    </w:p>
    <w:p>
      <w:r>
        <w:t xml:space="preserve">[25] K. Hyland. 2005. Metadiscourse: Exploring Interaction in Writing. Continuum.</w:t>
      </w:r>
    </w:p>
    <w:p>
      <w:r>
        <w:t xml:space="preserve">[26] S. Desai and G. Durrett. 2020. Calibration of Pre-trained Transformers. EMNLP.</w:t>
      </w:r>
    </w:p>
    <w:p>
      <w:r>
        <w:t xml:space="preserve">[27] S. Kumar, A. Sharma, S. H. Khincha, G. Shroff, S. R. Singh, and R. Mishra. 2025. SciClaimHunt: A Large Dataset for Evidence-based Scientific Claim Verification. arXiv:2502.10003.</w:t>
      </w:r>
    </w:p>
    <w:p>
      <w:r>
        <w:t xml:space="preserve">[28] S. R. Javaji, Y. Cao, H. Li, Y. Yu, N. Muralidhar, and Z. Zhu. 2025. Can AI Validate Science? Benchmarking LLMs on Claim-Evidence Reasoning in AI Papers. IJCNLP-AACL.</w:t>
      </w:r>
    </w:p>
    <w:p>
      <w:r>
        <w:t xml:space="preserve">[29] S. Sadeghi, K. Khajavi, R. Adhikari, and A. Tessier. 2026. DeepSciVerify: Verifying Scientific Claim-Citation Alignment via LLM-Driven Evidence Escalation. arXiv:2605.27710.</w:t>
      </w:r>
    </w:p>
    <w:p>
      <w:r>
        <w:t xml:space="preserve">[30] J. James, C. Xiao, Y. Li, N. S. Moosavi, and C. Lin. 2026. RIGOURATE: Quantifying Scientific Exaggeration with Evidence-Aligned Claim Evaluation. arXiv:2601.04350.</w:t>
      </w:r>
    </w:p>
    <w:p>
      <w:r>
        <w:t xml:space="preserve">[31] H. Li. 2026. The Calibration Turn in AI-Assisted Research: A Conceptual and Methodological Framework for Evidence-Licensed Claims. arXiv:2606.31273.</w:t>
      </w:r>
    </w:p>
    <w:p>
      <w:r>
        <w:t xml:space="preserve">[32] J. Gu et al. 2024. A Survey on LLM-as-a-Judge. arXiv:2411.15594.</w:t>
      </w:r>
    </w:p>
    <w:p>
      <w:r>
        <w:t xml:space="preserve">[33] A. Bavaresco et al. 2025. LLMs instead of Human Judges? A Large Scale Empirical Study across 20 NLP Evaluation Tasks. ACL.</w:t>
      </w:r>
    </w:p>
    <w:p>
      <w:r>
        <w:t xml:space="preserve">[34] M. Krumdick, C. Lovering, V. Reddy, S. Ebner, and C. Tanner. 2025. No Free Labels: Limitations of LLM-as-a-Judge Without Human Grounding. arXiv:2503.05061.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