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V3.11 High-Standard Framework (validation-pending, protocol-locked)</w:t>
      </w:r>
    </w:p>
    <w:p>
      <w:r>
        <w:rPr>
          <w:b/>
        </w:rPr>
        <w:t xml:space="preserve">Date:</w:t>
      </w:r>
      <w:r>
        <w:t xml:space="preserve"> 2026-07-04</w:t>
      </w:r>
    </w:p>
    <w:p>
      <w:r>
        <w:rPr>
          <w:b/>
        </w:rPr>
        <w:t xml:space="preserve">Status:</w:t>
      </w:r>
      <w:r>
        <w:t xml:space="preserve"> Controlled silver-stage evidence with a pre-registered, protocol-locked gold adjudication mechanism (§VII). All numeric results in §VI are computed on the controlled silver-stage evaluation; the gold validation slots (Tables G1–G3) are designed so that gold results can be inserted without restructuring the paper. The framework, taxonomy, and frozen method are the contribution; the gold adjudication is the validation mechanism, not a pending apology.</w:t>
      </w:r>
    </w:p>
    <w:p>
      <w:r>
        <w:rPr>
          <w:b/>
        </w:rPr>
        <w:t xml:space="preserve">Changes from V3.10.1:</w:t>
      </w:r>
      <w:r>
        <w:t xml:space="preserve"> Narrative and framework restructure to a high-standard positioning. No new experiments, no API calls, no gold annotation, no change to any experimental number, no change to the frozen R4 method, no change to the taxonomy boundary rules. Workshop / pilot-only / low-config language is removed from the main positioning; "not submission-ready" and "pre-gold complete draft" are replaced with "validation-pending" and "controlled silver-stage evidence." The gold validation section (§VII) is reframed as a protocol-locked validation mechanism rather than a self-denial passage. Contributions are expanded from 4 to 5 (§I). The Results section (§VI) uses "on the controlled silver-stage evaluation" as the standard qualifier. All experimental numbers (R4 strong-F1 0.3967, LLM strong-F1 0.0769, macro-F1 values, bootstrap CI, ablation, FP/TP ratio) are preserved byte-identical from V3.10.1. V3.10.1 and V3.9 are preserved unchanged.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the most consequential failure mode is not outright contradiction but </w:t>
      </w:r>
      <w:r>
        <w:rPr>
          <w:b/>
        </w:rPr>
        <w:t xml:space="preserve">evidence-to-claim strength mismatch</w:t>
      </w:r>
      <w:r>
        <w:t xml:space="preserve">: the evidence is topically relevant, directionally consistent, and non-contradictory, yet it does not justify the </w:t>
      </w:r>
      <w:r>
        <w:rPr>
          <w:i/>
        </w:rPr>
        <w:t xml:space="preserve">strength</w:t>
      </w:r>
      <w:r>
        <w:t xml:space="preserve"> of the claim — particularly when a claim asserts deployment readiness, actionability, safety, or operational conclusions on the basis of limited experimental evidence. We formulate this as a distinct task, </w:t>
      </w:r>
      <w:r>
        <w:rPr>
          <w:b/>
        </w:rPr>
        <w:t xml:space="preserve">evidence sufficiency calibration</w:t>
      </w:r>
      <w:r>
        <w:t xml:space="preserve">, and define a </w:t>
      </w:r>
      <w:r>
        <w:rPr>
          <w:b/>
        </w:rPr>
        <w:t xml:space="preserve">four-class taxonomy</w:t>
      </w:r>
      <w:r>
        <w:t xml:space="preserve">: supported, mild_scope_overclaim, strong_action_overclaim, and contradiction_candidate. We construct </w:t>
      </w:r>
      <w:r>
        <w:rPr>
          <w:b/>
        </w:rPr>
        <w:t xml:space="preserve">SimClaim</w:t>
      </w:r>
      <w:r>
        <w:t xml:space="preserve">, a controlled diagnostic benchmark of 444 claim–evidence pairs across 111 evidence groups and six domains, with AI-preannotated and author-screened silver labels. We propose </w:t>
      </w:r>
      <w:r>
        <w:rPr>
          <w:b/>
        </w:rPr>
        <w:t xml:space="preserve">CESE-OCN/R4</w:t>
      </w:r>
      <w:r>
        <w:t xml:space="preserve">, a structured evidence-relation screening framework that complements generic LLM/NLI judges via a contradiction detector, a scope-calibration residual classifier, and a conservative strong-action escalation route. On the controlled silver-stage evaluation, R4 improves strong_action positive-F1 from 0.2408 to 0.3967 while preserving contradiction performance; under the tested prompts, generic LLM judges (GPT-5.5, DeepSeek-V3) systematically under-detect strong_action_overclaim (strong-F1 = 0.0769, recall 0.04), while R4 reaches strong-F1 = 0.3000 on matched samples — at the cost of lower overall macro-F1 (0.3280 vs. 0.5523), positioning R4 as a screening-oriented complement, not a replacement. A </w:t>
      </w:r>
      <w:r>
        <w:rPr>
          <w:b/>
        </w:rPr>
        <w:t xml:space="preserve">pre-registered gold adjudication protocol</w:t>
      </w:r>
      <w:r>
        <w:t xml:space="preserve"> (§VII) with frozen success and downgrade criteria is specified to validate the taxonomy and the strong_action retention pattern; gold results are inserted into Tables G1–G3 without restructuring the paper. The contribution is framework-level and taxonomy-level: a falsifiable evidence-sufficiency calibration framework with a frozen, protocol-locked validation mechanism.</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 for scientific claim calibration</w:t>
      </w:r>
      <w:r>
        <w:t xml:space="preserve">. In scientific writing and AI-assisted research,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 This mismatch is not a factual error — it is an evidence-sufficiency error, and current support/refute/NEI frameworks do not isolate it.</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high-risk boundary class: the most consequential for scientific claim calibration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the controlled silver-stage evaluation, GPT-5.5 macro-F1 = 0.5523, DeepSeek-V3 macro-F1 = 0.5270 on matched samples), but they </w:t>
      </w:r>
      <w:r>
        <w:rPr>
          <w:b/>
        </w:rPr>
        <w:t xml:space="preserve">systematically under-detect strong_action_overclaim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tested prompt setting (Figure 3). This is a controlled silver-stage finding; the pre-registered gold adjudication (§VII) is the protocol-locked mechanism that determines whether this pattern is treated as validated.</w:t>
      </w:r>
    </w:p>
    <w:p>
      <w:r>
        <w:t xml:space="preserve">We therefore position CESE-OCN/R4 as a </w:t>
      </w:r>
      <w:r>
        <w:rPr>
          <w:b/>
        </w:rPr>
        <w:t xml:space="preserve">screening-oriented 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the controlled silver-stage evaluation (absolute gap +0.2231). </w:t>
      </w:r>
      <w:r>
        <w:rPr>
          <w:b/>
        </w:rPr>
        <w:t xml:space="preserve">R4 is not the strongest model on overall macro-F1 — LLM judges retain that, with GPT-5.5 at 0.5523 vs. R4 at 0.3280 on the matched 100 — but it provides targeted screening signal on the high-risk boundary class that LLM judges miss under the tested prompts.</w:t>
      </w:r>
      <w:r>
        <w:t xml:space="preserve"> This positioning as a screening-oriented complement, rather than a competitive replacement, is central to the paper's contribution.</w:t>
      </w:r>
    </w:p>
    <w:p>
      <w:r>
        <w:t xml:space="preserve">This manuscript makes </w:t>
      </w:r>
      <w:r>
        <w:rPr>
          <w:b/>
        </w:rPr>
        <w:t xml:space="preserve">five contributions</w:t>
      </w:r>
      <w:r>
        <w:t xml:space="preserve">:</w:t>
      </w:r>
    </w:p>
    <w:p>
      <w:pPr>
        <w:pStyle w:val="ListNumber"/>
      </w:pPr>
      <w:r>
        <w:rPr>
          <w:b/>
        </w:rPr>
        <w:t xml:space="preserve">Problem formulation.</w:t>
      </w:r>
      <w:r>
        <w:t xml:space="preserve"> We formulate </w:t>
      </w:r>
      <w:r>
        <w:rPr>
          <w:b/>
        </w:rPr>
        <w:t xml:space="preserve">evidence sufficiency calibration</w:t>
      </w:r>
      <w:r>
        <w:t xml:space="preserve"> as a task distinct from support/refute/NEI verification: given a scientific claim and evidence, judge whether the evidence is sufficient for the </w:t>
      </w:r>
      <w:r>
        <w:rPr>
          <w:i/>
        </w:rPr>
        <w:t xml:space="preserve">strength</w:t>
      </w:r>
      <w:r>
        <w:t xml:space="preserve"> of the claim — its scope, action framing, deployment implications, safety conclusions, and generalization breadth — not merely whether the evidence is topically related.</w:t>
      </w:r>
    </w:p>
    <w:p>
      <w:pPr>
        <w:pStyle w:val="ListNumber"/>
      </w:pPr>
      <w:r>
        <w:rPr>
          <w:b/>
        </w:rPr>
        <w:t xml:space="preserve">Four-class taxonomy.</w:t>
      </w:r>
      <w:r>
        <w:t xml:space="preserve"> We define a </w:t>
      </w:r>
      <w:r>
        <w:rPr>
          <w:b/>
        </w:rPr>
        <w:t xml:space="preserve">four-class taxonomy</w:t>
      </w:r>
      <w:r>
        <w:t xml:space="preserve"> for scientific claim calibration — supported, mild_scope_overclaim, strong_action_overclaim, contradiction_candidate — with an operational decision tree (Figure 2), concrete examples (Table 0), and explicit boundary rules. The separability of strong_action_overclaim as a reliably drawable class is a hypothesis tested by the pre-registered gold adjudication (§VII), not an assumption taken as already proven.</w:t>
      </w:r>
    </w:p>
    <w:p>
      <w:pPr>
        <w:pStyle w:val="ListNumber"/>
      </w:pPr>
      <w:r>
        <w:rPr>
          <w:b/>
        </w:rPr>
        <w:t xml:space="preserve">Controlled diagnostic benchmark.</w:t>
      </w:r>
      <w:r>
        <w:t xml:space="preserve"> We construct </w:t>
      </w:r>
      <w:r>
        <w:rPr>
          <w:b/>
        </w:rPr>
        <w:t xml:space="preserve">SimClaim</w:t>
      </w:r>
      <w:r>
        <w:t xml:space="preserve">, a controlled silver-stage diagnostic benchmark of 444 claim–evidence pairs across 111 evidence groups and six domains, with AI-preannotated and author-screened labels, group-aware splits, an author sanity audit (40 cases), and a frozen high-risk sample bank for gold adjudication priority.</w:t>
      </w:r>
    </w:p>
    <w:p>
      <w:pPr>
        <w:pStyle w:val="ListNumber"/>
      </w:pPr>
      <w:r>
        <w:rPr>
          <w:b/>
        </w:rPr>
        <w:t xml:space="preserve">Structured screening framework.</w:t>
      </w:r>
      <w:r>
        <w:t xml:space="preserve"> We propose </w:t>
      </w:r>
      <w:r>
        <w:rPr>
          <w:b/>
        </w:rPr>
        <w:t xml:space="preserve">CESE-OCN/R4</w:t>
      </w:r>
      <w:r>
        <w:t xml:space="preserve">, a structured evidence-relation screening framework that complements black-box LLM judges via relation-specific routing — a contradiction detector, a scope-calibration residual classifier, and a conservative strong-action escalation route — with frozen thresholds and explicit acknowledgment that R4 sacrifices overall macro-F1 for targeted strong_action recall.</w:t>
      </w:r>
    </w:p>
    <w:p>
      <w:pPr>
        <w:pStyle w:val="ListNumber"/>
      </w:pPr>
      <w:r>
        <w:rPr>
          <w:b/>
        </w:rPr>
        <w:t xml:space="preserve">Controlled silver-stage evidence and pre-registered validation.</w:t>
      </w:r>
      <w:r>
        <w:t xml:space="preserve"> We report controlled silver-stage evidence that, under the tested prompts, LLM judges under-detect strong_action_overclaim while R4 provides complementary screening signal, and we </w:t>
      </w:r>
      <w:r>
        <w:rPr>
          <w:b/>
        </w:rPr>
        <w:t xml:space="preserve">pre-register a gold adjudication protocol</w:t>
      </w:r>
      <w:r>
        <w:t xml:space="preserve"> (§VII) with frozen success and downgrade criteria — a protocol-locked validation mechanism, not a post-hoc tuning loop — to determine whether the silver-stage patterns are treated as validated.</w:t>
      </w:r>
    </w:p>
    <w:p>
      <w:r>
        <w:t xml:space="preserve">The remainder of the paper is organized as follows: §II positions the work; §III formulates the task and provides taxonomy examples (Table 0) and the decision tree (Figure 2); §IV describes the CESE-OCN/R4 framework (Figure 1); §V describes the data and protocol; §VI reports controlled silver-stage results (Figure 3, Tables 1–3); </w:t>
      </w:r>
      <w:r>
        <w:rPr>
          <w:b/>
        </w:rPr>
        <w:t xml:space="preserve">§VII specifies the pre-registered gold validation protocol, including placeholder Tables G1–G3 and frozen success/downgrade criteria</w:t>
      </w:r>
      <w:r>
        <w:t xml:space="preserve">; §VIII discusses implications;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closest recent line to our framing is scientific overstatement and evidence-aligned claim evaluation. RIGOURATE explicitly quantifies scientific exaggeration by aligning paper claims with supporting evidence and predicting overstatement scores [30], while the evidence-licensed claims perspective frames scientific writing as a problem of calibrating assertion rights to available evidence [31]. CESE-OCN differs by operationalizing this idea as a four-class claim-evidence relation taxonomy with a relation-specific router for strong_action_overclaim.</w:t>
      </w:r>
    </w:p>
    <w:p>
      <w:r>
        <w:t xml:space="preserve">The controlled silver-stage evidence suggests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the controlled silver-stage evaluation, baseline strong-F1 0.2408), and why a relation-specific router (R4, controlled silver-stage strong-F1 0.3967) is needed. Whether this pattern holds under gold adjudication is the subject of the protocol-locked validation in §VII.</w:t>
      </w:r>
    </w:p>
    <w:p>
      <w:r>
        <w:t xml:space="preserve">This manuscript is a </w:t>
      </w:r>
      <w:r>
        <w:rPr>
          <w:b/>
        </w:rPr>
        <w:t xml:space="preserve">framework-level contribution</w:t>
      </w:r>
      <w:r>
        <w:t xml:space="preserve">: an evidence-sufficiency calibration framework with a relation-specific router, a controlled diagnostic benchmark, and a protocol-locked validation mechanism. It is not a final public benchmark, not a human-gold evaluation, and not a claim that all four classes are solved. All LLM comparison results are labeled as small-sample controlled evaluation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pending independent gold adjudication (§VII).</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High-Risk Boundary Class</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pre-registered gold adjudication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 — this is a protocol-locked safety mechanism, not a self-denial passage.</w:t>
      </w:r>
    </w:p>
    <w:p>
      <w:pPr>
        <w:pStyle w:val="Heading2"/>
      </w:pPr>
      <w:r>
        <w:t xml:space="preserve">IV. CESE-OCN/R4: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controlled silver-stage evidence is consistent with this: contradiction is comparatively well captured by NLI-style evidence signals (on the controlled silver-stage evaluation,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screening-oriented 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the controlled silver-stage evaluation,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screening-oriented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Controlled Silver-Stage Diagnostic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are pending independent gold adjudication (§VII).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controlled evaluation,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validation-pending.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is </w:t>
      </w:r>
      <w:r>
        <w:rPr>
          <w:b/>
        </w:rPr>
        <w:t xml:space="preserve">controlled silver-stage evidence, pending independent gold adjudication</w:t>
      </w:r>
      <w:r>
        <w:t xml:space="preserve"> — not yet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gold adjudication priority; `trusted_case_bank.csv` (18 cases, ≥4 per class) provides clear illustrative cases for paper examples — none of which are claimed as gold. The full audit is in `author_sanity_audit_40.csv`.</w:t>
      </w:r>
    </w:p>
    <w:p>
      <w:pPr>
        <w:pStyle w:val="Heading3"/>
      </w:pPr>
      <w:r>
        <w:t xml:space="preserve">E. Framing</w:t>
      </w:r>
    </w:p>
    <w:p>
      <w:r>
        <w:t xml:space="preserve">Because the dataset is small, silver-labeled, and the author sanity audit flags substantial label uncertainty, all results are framed as </w:t>
      </w:r>
      <w:r>
        <w:rPr>
          <w:b/>
        </w:rPr>
        <w:t xml:space="preserve">controlled silver-stage evidence</w:t>
      </w:r>
      <w:r>
        <w:t xml:space="preserve">. A higher-tier confirmatory submission would require 300–500 independently adjudicated claim-evidence pairs, inter-annotator agreement statistics, significance tests against stronger external baselines, and external validation. The pre-registered gold adjudication (§VII) is the protocol-locked next step toward that target.</w:t>
      </w:r>
    </w:p>
    <w:p>
      <w:pPr>
        <w:pStyle w:val="Heading2"/>
      </w:pPr>
      <w:r>
        <w:t xml:space="preserve">VI. Results</w:t>
      </w:r>
    </w:p>
    <w:p>
      <w:pPr>
        <w:pStyle w:val="TableCell"/>
      </w:pPr>
      <w:r>
        <w:rPr>
          <w:b/>
        </w:rPr>
        <w:t xml:space="preserve">All numerical results in this section are computed on the controlled silver-stage evaluation against AI-preannotated, author-screened silver labels. The pre-registered gold adjudication in §VII is the protocol-locked mechanism that determines whether these patterns are treated as validated: if gold supports the silver labels, these patterns become validated pilot findings; if not, the affected claims are downgraded according to the pre-registered criteria in §VII.G.</w:t>
      </w:r>
      <w:r>
        <w:t xml:space="preserve"> These are validation-pending findings; they are not gold benchmark numbers. The protocol-locked validation in §VII specifies how these numbers will be re-evaluated once gold labels are available.</w:t>
      </w:r>
    </w:p>
    <w:p>
      <w:pPr>
        <w:pStyle w:val="Heading3"/>
      </w:pPr>
      <w:r>
        <w:t xml:space="preserve">A. Internal Silver Diagnostic Results (Table 1)</w:t>
      </w:r>
    </w:p>
    <w:p>
      <w:r>
        <w:t xml:space="preserve">The strongest controlled silver-stage result is that </w:t>
      </w:r>
      <w:r>
        <w:rPr>
          <w:b/>
        </w:rPr>
        <w:t xml:space="preserve">on the controlled silver-stage evaluation</w:t>
      </w:r>
      <w:r>
        <w:t xml:space="preserve">,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(controlled silver-stage evaluation,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the controlled silver-stage evaluation,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known trade-off: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 </w:t>
      </w:r>
      <w:r>
        <w:rPr>
          <w:b/>
        </w:rPr>
        <w:t xml:space="preserve">All numbers in this subsection are computed on the controlled silver-stage evaluation.</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the controlled silver-stage evaluation.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the controlled silver-stage evaluation, LLMs are stronger overall, but R4 targets the strong_action gap observed under the tested prompts.</w:t>
      </w:r>
    </w:p>
    <w:p>
      <w:r>
        <w:rPr>
          <w:b/>
        </w:rPr>
        <w:t xml:space="preserve">Key findings (all computed on the controlled silver-stage evaluation):</w:t>
      </w:r>
    </w:p>
    <w:p>
      <w:pPr>
        <w:pStyle w:val="ListNumber"/>
      </w:pPr>
      <w:r>
        <w:rPr>
          <w:b/>
        </w:rPr>
        <w:t xml:space="preserve">On the controlled silver-stage evaluation,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the controlled silver-stage evaluation (precision 1.0, recall 0.04 = 1/25), while reaching macro-F1 0.5270 and contradiction-F1 0.8317 — strong overall, missing strong_action.</w:t>
      </w:r>
    </w:p>
    <w:p>
      <w:pPr>
        <w:pStyle w:val="ListNumber"/>
      </w:pPr>
      <w:r>
        <w:rPr>
          <w:b/>
        </w:rPr>
        <w:t xml:space="preserve">On the controlled silver-stage evaluation,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the controlled silver-stage evaluation)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the controlled silver-stage evaluation,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screening signal on the high-risk boundary class, at the cost of lower overall macro-F1.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adjudication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2"/>
      </w:pPr>
      <w:r>
        <w:t xml:space="preserve">VII. Pre-Registered Gold Validation Protocol</w:t>
      </w:r>
    </w:p>
    <w:p>
      <w:pPr>
        <w:pStyle w:val="TableCell"/>
      </w:pPr>
      <w:r>
        <w:t xml:space="preserve">This section specifies the protocol-locked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validation-pending protocol; the results will be filled in after the 50-sample gold pilot is completed. This is a protocol-locked validation mechanism, not a post-hoc tuning loop.</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the controlled silver-stage evaluation,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 — and it is pre-registered to ensure it is a validation mechanism, not a tuning opportunity.</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 This is the protocol-locked safety mechanism.</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and to detect fatal taxonomy problems; a confirmatory study (300–500 pairs) is a separate follow-up effort. If the 50-sample pilot passes, the paper proceeds to the confirmatory study; if it fails, the taxonomy is revised first.</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Position</w:t>
      </w:r>
    </w:p>
    <w:p>
      <w:r>
        <w:rPr>
          <w:b/>
        </w:rPr>
        <w:t xml:space="preserve">The downgrade criteria in §VII.G specify what happens if gold does not support the silver-stage findings.</w:t>
      </w:r>
      <w:r>
        <w:t xml:space="preserve"> Until gold results are available, all claims in this manuscript should be read as controlled silver-stage evidence,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 This is what "protocol-locked validation" means: the validation mechanism is fixed before the result is known.</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the controlled silver-stage evaluation,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high-risk boundary class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screening-oriented complement,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the controlled silver-stage evaluation,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is acceptable as a high-recall screening layer for human or LLM-assisted review.</w:t>
      </w:r>
      <w:r>
        <w:t xml:space="preserve"> Whether the macro-F1 gap is an acceptable trade-off depends on the downstream use case — for action-overclaim monitoring where missing a strong_action case is costly, the trade-off is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the controlled silver-stage evaluation,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The pre-registered gold adjudication (§VII) is the protocol-locked mechanism that determines whether this silver-stage pattern is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gold adjudication priority.</w:t>
      </w:r>
    </w:p>
    <w:p>
      <w:pPr>
        <w:pStyle w:val="Heading3"/>
      </w:pPr>
      <w:r>
        <w:t xml:space="preserve">D.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yet).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are reported as controlled silver-stage evidence, without claims of final benchmark readiness, and without claims that R4 outperforms LLM judges overall.</w:t>
      </w:r>
    </w:p>
    <w:p>
      <w:pPr>
        <w:pStyle w:val="Heading2"/>
      </w:pPr>
      <w:r>
        <w:t xml:space="preserve">IX. Limitations</w:t>
      </w:r>
    </w:p>
    <w:p>
      <w:r>
        <w:t xml:space="preserve">This work is a </w:t>
      </w:r>
      <w:r>
        <w:rPr>
          <w:b/>
        </w:rPr>
        <w:t xml:space="preserve">framework-level contribution with controlled silver-stage evidence</w:t>
      </w:r>
      <w:r>
        <w:t xml:space="preserve">, not a confirmatory benchmark. The limitations below define the boundary of what the current results do and do not support.</w:t>
      </w:r>
    </w:p>
    <w:p>
      <w:pPr>
        <w:pStyle w:val="ListNumber"/>
      </w:pPr>
      <w:r>
        <w:rPr>
          <w:b/>
        </w:rPr>
        <w:t xml:space="preserve">Silver labels are validation-pending, not gold.</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controlled silver-stage findings. We do not claim gold/human-audited performance, human kappa, or final benchmark status from silver data alone. The LLM under-detection finding (§VI.B) is computed against these silver labels and must be interpreted as controlled silver-stage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(controlled silver-stage evaluation), R4 macro-F1 = 0.3280 vs. GPT-5.5 = 0.5523 (gap 0.22). R4 is a relation-specific screening-oriented complement, not a general-purpose classifier. It sacrifices macro-F1 for strong_action recall. We do not claim R4 is better than LLM judges overall — we claim R4 provides targeted screening signal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the controlled silver-stage evaluation, R4 strong-F1 = 0.3967, LLM strong-F1 = 0.0769) should be read as controlled silver-stage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framework-level contribution with a protocol-locked validation mechanism.</w:t>
      </w:r>
      <w:r>
        <w:t xml:space="preserve"> The gold validation section (§VII) is specified but not yet populated; all gold-related entries are marked `TO_BE_FILLED_AFTER_GOLD`. Final submission claims will be revised after gold results are available. If gold does not support the current taxonomy, the paper will be downgraded per the pre-registered criteria in §VII.G rather than re-tuned against gold. This is the protocol-locked safety mechanism.</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controlled evaluation, N ≤ 200" and are never merged with SimClaim main results or claimed as gold standard.</w:t>
      </w:r>
    </w:p>
    <w:p>
      <w:r>
        <w:t xml:space="preserve">These limitations bound the strength of the claims — they do not invalidate the framework. The contribution is a falsifiable framework, a frozen main method whose numeric claims are constrained by the paper-ready result pack, and a protocol-locked validation mechanism — positioned as a screening-oriented complement to LLM judges rather than a competitive replacement.</w:t>
      </w:r>
    </w:p>
    <w:p>
      <w:pPr>
        <w:pStyle w:val="Heading2"/>
      </w:pPr>
      <w:r>
        <w:t xml:space="preserve">X. Conclusion</w:t>
      </w:r>
    </w:p>
    <w:p>
      <w:r>
        <w:t xml:space="preserve">This work 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On the controlled silver-stage evaluation,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screening-oriented complement to black-box LLM judges, not a replacement.</w:t>
      </w:r>
      <w:r>
        <w:t xml:space="preserve"> On the controlled silver-stage evaluation, LLM judges retain substantially higher overall macro-F1 (GPT-5.5: 0.5523 vs. R4: 0.3280 on matched 100) and contradiction-F1; R4 targets the specific high-risk boundary class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t xml:space="preserve">The result is </w:t>
      </w:r>
      <w:r>
        <w:rPr>
          <w:b/>
        </w:rPr>
        <w:t xml:space="preserve">validation-pending</w:t>
      </w:r>
      <w:r>
        <w:t xml:space="preserve">. The author sanity audit flags 62.5% of silver labels as questionable or unclear, reinforcing that the pre-registered gold adjudication (§VII) is the protocol-locked mechanism that determines whether the LLM under-detection finding is treated as established. The paper is reported with clear silver-label boundaries, without claims of final benchmark readiness, and without claims that R4 outperforms LLM judges overall. R4 provides targeted value for strong_action_overclaim detection and evidence sufficiency calibration — as a screening-oriented complement to LLM judges, not a replacement. </w:t>
      </w:r>
      <w:r>
        <w:rPr>
          <w:b/>
        </w:rPr>
        <w:t xml:space="preserve">The controlled silver-stage evidence motivates the protocol-locked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controlled silver-stage evaluation, R4 improves strong-action positive-F1 from 0.2408 to 0.3967 while preserving contradiction and escalation performance."</w:t>
      </w:r>
    </w:p>
    <w:p>
      <w:pPr>
        <w:pStyle w:val="ListBullet"/>
      </w:pPr>
      <w:r>
        <w:t xml:space="preserve">"On the controlled silver-stage evaluation,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controlled silver-stage evaluation — a validation-pending finding."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screening-oriented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the pre-registered gold adjudication (§VII) is the protocol-locked validation mechanism."</w:t>
      </w:r>
    </w:p>
    <w:p>
      <w:pPr>
        <w:pStyle w:val="ListBullet"/>
      </w:pPr>
      <w:r>
        <w:t xml:space="preserve">"The framework is positioned as a controlled silver-stage action-overclaim diagnostic with a protocol-locked validation mechanism."</w:t>
      </w:r>
    </w:p>
    <w:p>
      <w:pPr>
        <w:pStyle w:val="ListBullet"/>
      </w:pPr>
      <w:r>
        <w:t xml:space="preserve">"The controlled silver-stage evidence motivates the protocol-locked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"under-detection pattern observed under the tested prompts, validation-pending" instead)</w:t>
      </w:r>
    </w:p>
    <w:p>
      <w:pPr>
        <w:pStyle w:val="ListBullet"/>
      </w:pPr>
      <w:r>
        <w:t xml:space="preserve">"Validated taxonomy." (use "frozen taxonomy pending protocol-locked gold validation" instead)</w:t>
      </w:r>
    </w:p>
    <w:p>
      <w:pPr>
        <w:pStyle w:val="ListBullet"/>
      </w:pPr>
      <w:r>
        <w:t xml:space="preserve">"Final proof." (use "controlled silver-stage evidence" instead)</w:t>
      </w:r>
    </w:p>
    <w:p>
      <w:pPr>
        <w:pStyle w:val="ListBullet"/>
      </w:pPr>
      <w:r>
        <w:t xml:space="preserve">"Gold benchmark." (use "controlled silver-stage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 final benchmark complete." (this is a framework-level contribution with a protocol-locked validation mechanism; gold validation is planned but not completed)</w:t>
      </w:r>
    </w:p>
    <w:p>
      <w:pPr>
        <w:pStyle w:val="ListBullet"/>
      </w:pPr>
      <w:r>
        <w:t xml:space="preserve">"Workshop / pilot-only / low-config positioning." (this is a high-standard framework contribution)</w:t>
      </w:r>
    </w:p>
    <w:p>
      <w:pPr>
        <w:pStyle w:val="Heading3"/>
      </w:pPr>
      <w:r>
        <w:t xml:space="preserve">Preferred language:</w:t>
      </w:r>
    </w:p>
    <w:p>
      <w:pPr>
        <w:pStyle w:val="ListBullet"/>
      </w:pPr>
      <w:r>
        <w:t xml:space="preserve">"under the tested prompts" / "under this tested setting"</w:t>
      </w:r>
    </w:p>
    <w:p>
      <w:pPr>
        <w:pStyle w:val="ListBullet"/>
      </w:pPr>
      <w:r>
        <w:t xml:space="preserve">"on the controlled silver-stage evaluation"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the controlled silver-stage evaluation" / "AI-preannotated, author-screened labels"</w:t>
      </w:r>
    </w:p>
    <w:p>
      <w:pPr>
        <w:pStyle w:val="ListBullet"/>
      </w:pPr>
      <w:r>
        <w:t xml:space="preserve">"framework-level contribution" / "validation-pending"</w:t>
      </w:r>
    </w:p>
    <w:p>
      <w:pPr>
        <w:pStyle w:val="ListBullet"/>
      </w:pPr>
      <w:r>
        <w:t xml:space="preserve">"suggests" / "is consistent with" / "does not support"</w:t>
      </w:r>
    </w:p>
    <w:p>
      <w:pPr>
        <w:pStyle w:val="ListBullet"/>
      </w:pPr>
      <w:r>
        <w:t xml:space="preserve">"screening-oriented complement to black-box LLM judges"</w:t>
      </w:r>
    </w:p>
    <w:p>
      <w:pPr>
        <w:pStyle w:val="ListBullet"/>
      </w:pPr>
      <w:r>
        <w:t xml:space="preserve">"protocol-locked validation mechanism" / "pre-registered adjudication"</w:t>
      </w:r>
    </w:p>
    <w:p>
      <w:pPr>
        <w:pStyle w:val="ListBullet"/>
      </w:pPr>
      <w:r>
        <w:t xml:space="preserve">"high-risk boundary class" / "controlled silver-stage evidence"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