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Evidence Sufficiency Calibration for Scientific Claims: A Mixed Relation-Routing Framework</w:t>
      </w:r>
    </w:p>
    <w:p>
      <w:r>
        <w:rPr>
          <w:b/>
        </w:rPr>
        <w:t xml:space="preserve">Version:</w:t>
      </w:r>
      <w:r>
        <w:t xml:space="preserve"> V3.12.1 Advisor Send Clean (validation-pending, protocol-locked)</w:t>
      </w:r>
    </w:p>
    <w:p>
      <w:r>
        <w:rPr>
          <w:b/>
        </w:rPr>
        <w:t xml:space="preserve">Date:</w:t>
      </w:r>
      <w:r>
        <w:t xml:space="preserve"> 2026-07-04</w:t>
      </w:r>
    </w:p>
    <w:p>
      <w:r>
        <w:rPr>
          <w:b/>
        </w:rPr>
        <w:t xml:space="preserve">Status:</w:t>
      </w:r>
      <w:r>
        <w:t xml:space="preserve"> Controlled silver-stage evidence with a pre-registered, protocol-locked gold adjudication mechanism (§VII). All numeric results in §VI are computed on the controlled silver-stage evaluation; the gold validation slots (Tables G1–G3) are designed so that gold results can be inserted without restructuring the paper. The framework, taxonomy, and frozen method are the contribution; the gold adjudication is the validation mechanism, not a pending apology.</w:t>
      </w:r>
    </w:p>
    <w:p>
      <w:r>
        <w:rPr>
          <w:b/>
        </w:rPr>
        <w:t xml:space="preserve">Changes from V3.12:</w:t>
      </w:r>
      <w:r>
        <w:t xml:space="preserve"> Encoding clean and minor wording stabilization only — no experimental changes, no structural changes. Mojibake scan confirmed 0 hits (V3.12 was already clean UTF-8 with proper Unicode characters §, κ, Δ, ≥, −, —, –). Two occurrences of the adverb "systematically" (in the Abstract and §I, qualifying the LLM strong_action under-detection pattern) were softened to "consistently"; the qualifier "under the tested prompts" is already present in both contexts, and the strong_action under-detection main conclusion is preserved. </w:t>
      </w:r>
      <w:r>
        <w:rPr>
          <w:b/>
        </w:rPr>
        <w:t xml:space="preserve">No change to any experimental number, no change to §VIII.D, no change to the non-gold caveat, no change to the 50% retention caveat, no change to the R4 macro-F1 &lt; LLM fact, no change to the gold-not-done fact.</w:t>
      </w:r>
      <w:r>
        <w:t xml:space="preserve"> V3.12, V3.11, V3.10.1, and V3.9 are preserved unchanged.</w:t>
      </w:r>
    </w:p>
    <w:p>
      <w:r>
        <w:rPr>
          <w:b/>
        </w:rPr>
        <w:t xml:space="preserve">Changes from V3.11:</w:t>
      </w:r>
      <w:r>
        <w:t xml:space="preserve"> Insertion of three non-gold credibility checks (§VIII.D) — Evidence Necessity Check, Screening Utility Test, and Label-Shift Stress Test — based on already-existing data, predictions, and scores. </w:t>
      </w:r>
      <w:r>
        <w:rPr>
          <w:b/>
        </w:rPr>
        <w:t xml:space="preserve">No new experiments, no API calls, no gold annotation, no new model training, no threshold retuning, no change to any experimental number, no change to the frozen R4 method, no change to the taxonomy boundary rules.</w:t>
      </w:r>
      <w:r>
        <w:t xml:space="preserve"> All §VI numbers (R4 strong-F1 0.3967, LLM strong-F1 0.0769, macro-F1 values, bootstrap CI, ablation, FP/TP ratio) are preserved byte-identical from V3.11. The new §VIII.D is explicitly labeled as non-gold robustness analysis and does not replace gold adjudication. The prior §VIII.D (What Remains Unresolved) is renumbered to §VIII.E. A single sentence is added to the Abstract; one item is added to the Limitations. V3.11, V3.10.1, and V3.9 are preserved unchanged.</w:t>
      </w:r>
    </w:p>
    <w:p>
      <w:r>
        <w:rPr>
          <w:b/>
        </w:rPr>
        <w:t xml:space="preserve">Changes from V3.10.1:</w:t>
      </w:r>
      <w:r>
        <w:t xml:space="preserve"> Narrative and framework restructure to a high-standard positioning. No new experiments, no API calls, no gold annotation, no change to any experimental number, no change to the frozen R4 method, no change to the taxonomy boundary rules. Workshop / pilot-only / low-config language is removed from the main positioning; "not submission-ready" and "pre-gold complete draft" are replaced with "validation-pending" and "controlled silver-stage evidence." The gold validation section (§VII) is reframed as a protocol-locked validation mechanism rather than a self-denial passage. Contributions are expanded from 4 to 5 (§I). The Results section (§VI) uses "on the controlled silver-stage evaluation" as the standard qualifier. All experimental numbers (R4 strong-F1 0.3967, LLM strong-F1 0.0769, macro-F1 values, bootstrap CI, ablation, FP/TP ratio) are preserved byte-identical from V3.10.1. V3.10.1 and V3.9 are preserved unchanged.</w:t>
      </w:r>
    </w:p>
    <w:p>
      <w:r>
        <w:t xml:space="preserve">Author information omitted for review draft</w:t>
      </w:r>
    </w:p>
    <w:p>
      <w:pPr>
        <w:pStyle w:val="Heading2"/>
      </w:pPr>
      <w:r>
        <w:t xml:space="preserve">Abstract</w:t>
      </w:r>
    </w:p>
    <w:p>
      <w:r>
        <w:t xml:space="preserve">Scientific claim verification is typically framed as deciding whether evidence supports or refutes a claim. We argue this framing is insufficient for scientific writing, where the most consequential failure mode is not outright contradiction but </w:t>
      </w:r>
      <w:r>
        <w:rPr>
          <w:b/>
        </w:rPr>
        <w:t xml:space="preserve">evidence-to-claim strength mismatch</w:t>
      </w:r>
      <w:r>
        <w:t xml:space="preserve">: the evidence is topically relevant, directionally consistent, and non-contradictory, yet it does not justify the </w:t>
      </w:r>
      <w:r>
        <w:rPr>
          <w:i/>
        </w:rPr>
        <w:t xml:space="preserve">strength</w:t>
      </w:r>
      <w:r>
        <w:t xml:space="preserve"> of the claim — particularly when a claim asserts deployment readiness, actionability, safety, or operational conclusions on the basis of limited experimental evidence. We formulate this as a distinct task, </w:t>
      </w:r>
      <w:r>
        <w:rPr>
          <w:b/>
        </w:rPr>
        <w:t xml:space="preserve">evidence sufficiency calibration</w:t>
      </w:r>
      <w:r>
        <w:t xml:space="preserve">, and define a </w:t>
      </w:r>
      <w:r>
        <w:rPr>
          <w:b/>
        </w:rPr>
        <w:t xml:space="preserve">four-class taxonomy</w:t>
      </w:r>
      <w:r>
        <w:t xml:space="preserve">: supported, mild_scope_overclaim, strong_action_overclaim, and contradiction_candidate. We construct </w:t>
      </w:r>
      <w:r>
        <w:rPr>
          <w:b/>
        </w:rPr>
        <w:t xml:space="preserve">SimClaim</w:t>
      </w:r>
      <w:r>
        <w:t xml:space="preserve">, a controlled diagnostic benchmark of 444 claim–evidence pairs across 111 evidence groups and six domains, with AI-preannotated and author-screened silver labels. We propose </w:t>
      </w:r>
      <w:r>
        <w:rPr>
          <w:b/>
        </w:rPr>
        <w:t xml:space="preserve">CESE-OCN/R4</w:t>
      </w:r>
      <w:r>
        <w:t xml:space="preserve">, a structured evidence-relation screening framework that complements generic LLM/NLI judges via a contradiction detector, a scope-calibration residual classifier, and a conservative strong-action escalation route. On the controlled silver-stage evaluation, R4 improves strong_action positive-F1 from 0.2408 to 0.3967 while preserving contradiction performance; under the tested prompts, generic LLM judges (GPT-5.5, DeepSeek-V3) consistently under-detect strong_action_overclaim (strong-F1 = 0.0769, recall 0.04), while R4 reaches strong-F1 = 0.3000 on matched samples — at the cost of lower overall macro-F1 (0.3280 vs. 0.5523), positioning R4 as a screening-oriented complement, not a replacement. A </w:t>
      </w:r>
      <w:r>
        <w:rPr>
          <w:b/>
        </w:rPr>
        <w:t xml:space="preserve">pre-registered gold adjudication protocol</w:t>
      </w:r>
      <w:r>
        <w:t xml:space="preserve"> (§VII) with frozen success and downgrade criteria is specified to validate the taxonomy and the strong_action retention pattern; gold results are inserted into Tables G1–G3 without restructuring the paper. We further report three non-gold credibility checks (§VIII.D) testing evidence necessity, screening utility, and sensitivity to simulated strong-label shift. The contribution is framework-level and taxonomy-level: a falsifiable evidence-sufficiency calibration framework with a frozen, protocol-locked validation mechanism.</w:t>
      </w:r>
    </w:p>
    <w:p>
      <w:r>
        <w:t xml:space="preserve">Index Terms — evidence sufficiency, claim calibration, scientific claims, action overclaim, relation-specific routing, LLM-as-judge, natural-language inference, simulation evidence.</w:t>
      </w:r>
    </w:p>
    <w:p>
      <w:pPr>
        <w:pStyle w:val="Heading2"/>
      </w:pPr>
      <w:r>
        <w:t xml:space="preserve">I. Introduction</w:t>
      </w:r>
    </w:p>
    <w:p>
      <w:r>
        <w:t xml:space="preserve">Scientific claim verification is typically framed as a three-class task: given a claim and evidence, decide whether the evidence </w:t>
      </w:r>
      <w:r>
        <w:rPr>
          <w:i/>
        </w:rPr>
        <w:t xml:space="preserve">supports</w:t>
      </w:r>
      <w:r>
        <w:t xml:space="preserve"> the claim, </w:t>
      </w:r>
      <w:r>
        <w:rPr>
          <w:i/>
        </w:rPr>
        <w:t xml:space="preserve">refutes</w:t>
      </w:r>
      <w:r>
        <w:t xml:space="preserve"> it, or provides </w:t>
      </w:r>
      <w:r>
        <w:rPr>
          <w:i/>
        </w:rPr>
        <w:t xml:space="preserve">not enough information</w:t>
      </w:r>
      <w:r>
        <w:t xml:space="preserve"> (NEI). This framing — introduced by FEVER [1], SNLI [2], and SciFact [3], and extended by recent scientific claim verification / claim-evidence reasoning benchmarks such as SciClaimHunt and CLAIM-BENCH [27], [28] — is effective for factual correctness, but it is </w:t>
      </w:r>
      <w:r>
        <w:rPr>
          <w:b/>
        </w:rPr>
        <w:t xml:space="preserve">insufficient for scientific claim calibration</w:t>
      </w:r>
      <w:r>
        <w:t xml:space="preserve">. In scientific writing and AI-assisted research, the most frequent and consequential failure mode is not outright contradiction but </w:t>
      </w:r>
      <w:r>
        <w:rPr>
          <w:b/>
        </w:rPr>
        <w:t xml:space="preserve">strength mismatch</w:t>
      </w:r>
      <w:r>
        <w:t xml:space="preserve">: the evidence is topically relevant, directionally consistent, and non-contradictory, yet it does not justify the </w:t>
      </w:r>
      <w:r>
        <w:rPr>
          <w:i/>
        </w:rPr>
        <w:t xml:space="preserve">strength</w:t>
      </w:r>
      <w:r>
        <w:t xml:space="preserve"> of the claim. A benchmark improvement becomes a "deployment-ready system"; a controlled simulated result becomes a "safety guarantee"; a single-domain observation becomes a "generalization claim". This mismatch is not a factual error — it is an evidence-sufficiency error, and current support/refute/NEI frameworks do not isolate it.</w:t>
      </w:r>
    </w:p>
    <w:p>
      <w:r>
        <w:t xml:space="preserve">This motivates the </w:t>
      </w:r>
      <w:r>
        <w:rPr>
          <w:b/>
        </w:rPr>
        <w:t xml:space="preserve">evidence sufficiency calibration</w:t>
      </w:r>
      <w:r>
        <w:t xml:space="preserve"> task. Rather than asking only whether evidence supports or refutes a claim, we ask whether the evidence is </w:t>
      </w:r>
      <w:r>
        <w:rPr>
          <w:i/>
        </w:rPr>
        <w:t xml:space="preserve">sufficient for the strength of the claim</w:t>
      </w:r>
      <w:r>
        <w:t xml:space="preserve"> — including its scope, action framing, deployment implications, safety conclusions, and generalization breadth. This framing is aligned with recent work on scientific overstatement, evidence-aligned claim evaluation, and evidence-licensed claims [30], [31]. We formulate this as a four-class relation problem: (i) </w:t>
      </w:r>
      <w:r>
        <w:rPr>
          <w:b/>
        </w:rPr>
        <w:t xml:space="preserve">supported</w:t>
      </w:r>
      <w:r>
        <w:t xml:space="preserve"> — the evidence supports the claim as stated, including its strength; (ii) </w:t>
      </w:r>
      <w:r>
        <w:rPr>
          <w:b/>
        </w:rPr>
        <w:t xml:space="preserve">mild_scope_overclaim</w:t>
      </w:r>
      <w:r>
        <w:t xml:space="preserve"> — the claim mildly over-extends the scope of the evidence, without asserting an action/deployment/safety conclusion; (iii) </w:t>
      </w:r>
      <w:r>
        <w:rPr>
          <w:b/>
        </w:rPr>
        <w:t xml:space="preserve">strong_action_overclaim</w:t>
      </w:r>
      <w:r>
        <w:t xml:space="preserve"> — the claim asserts an action, deployment, safety, policy, generalization, guarantee, or operational conclusion that the evidence does not justify; (iv) </w:t>
      </w:r>
      <w:r>
        <w:rPr>
          <w:b/>
        </w:rPr>
        <w:t xml:space="preserve">contradiction_candidate</w:t>
      </w:r>
      <w:r>
        <w:t xml:space="preserve"> — the evidence contradicts the claim. Class (iii) — strong_action_overclaim — is the high-risk boundary class: the most consequential for scientific claim calibration and the hardest to detect, because the evidence is often relevant and the claim is not strictly false; it is simply stronger than the evidence warrants (Figure 2).</w:t>
      </w:r>
    </w:p>
    <w:p>
      <w:r>
        <w:t xml:space="preserve">A natural hypothesis is that strong LLM judges (GPT-5.5, DeepSeek-V3) should handle this task well, given their broad language understanding. Recent LLM-as-judge work, however, stresses that automatic judges require careful validation against human judgments and may vary substantially by task, domain, prompt, and availability of grounded references [32]–[34]. We test this hypothesis empirically. Under the tested prompts, generic LLM judges are strong on overall support/refutation and contradiction (on the controlled silver-stage evaluation, GPT-5.5 macro-F1 = 0.5523, DeepSeek-V3 macro-F1 = 0.5270 on matched samples), but they </w:t>
      </w:r>
      <w:r>
        <w:rPr>
          <w:b/>
        </w:rPr>
        <w:t xml:space="preserve">consistently under-detect strong_action_overclaim under both tested prompt designs</w:t>
      </w:r>
      <w:r>
        <w:t xml:space="preserve">: on 100 matched SimClaim samples, both GPT-5.5 with a standard judge prompt and GPT-5.5 with a structured 5-step evidence-sufficiency decomposition prompt achieve strong_action-F1 of only 0.0769 (recall 0.04 = 1/25). DeepSeek-V3 on 200 samples achieves the same strong_action-F1 of 0.0769. The structured prompt design does </w:t>
      </w:r>
      <w:r>
        <w:rPr>
          <w:i/>
        </w:rPr>
        <w:t xml:space="preserve">not</w:t>
      </w:r>
      <w:r>
        <w:t xml:space="preserve"> improve strong_action detection under this tested prompt setting (Figure 3). This is a controlled silver-stage finding; the pre-registered gold adjudication (§VII) is the protocol-locked mechanism that determines whether this pattern is treated as validated.</w:t>
      </w:r>
    </w:p>
    <w:p>
      <w:r>
        <w:t xml:space="preserve">We therefore position CESE-OCN/R4 as a </w:t>
      </w:r>
      <w:r>
        <w:rPr>
          <w:b/>
        </w:rPr>
        <w:t xml:space="preserve">screening-oriented complement</w:t>
      </w:r>
      <w:r>
        <w:t xml:space="preserve"> to generic LLM/NLI judges, not a replacement. R4 is a mixed relation-routing framework (Figure 1): a contradiction detector handles the most separable relation first; a scope-calibration residual classifier handles supported vs. mild_scope_overclaim; and a conservative strong-action escalation route targets strong_action_overclaim specifically, under a guarded condition that prevents contradiction cases from being absorbed. On the same 100 matched samples where GPT and DeepSeek achieve strong_action-F1 0.0769, R4 achieves strong_action-F1 0.3000 on the controlled silver-stage evaluation (absolute gap +0.2231). </w:t>
      </w:r>
      <w:r>
        <w:rPr>
          <w:b/>
        </w:rPr>
        <w:t xml:space="preserve">R4 is not the strongest model on overall macro-F1 — LLM judges retain that, with GPT-5.5 at 0.5523 vs. R4 at 0.3280 on the matched 100 — but it provides targeted screening signal on the high-risk boundary class that LLM judges miss under the tested prompts.</w:t>
      </w:r>
      <w:r>
        <w:t xml:space="preserve"> This positioning as a screening-oriented complement, rather than a competitive replacement, is central to the paper's contribution.</w:t>
      </w:r>
    </w:p>
    <w:p>
      <w:r>
        <w:t xml:space="preserve">This manuscript makes </w:t>
      </w:r>
      <w:r>
        <w:rPr>
          <w:b/>
        </w:rPr>
        <w:t xml:space="preserve">five contributions</w:t>
      </w:r>
      <w:r>
        <w:t xml:space="preserve">:</w:t>
      </w:r>
    </w:p>
    <w:p>
      <w:pPr>
        <w:pStyle w:val="ListNumber"/>
      </w:pPr>
      <w:r>
        <w:rPr>
          <w:b/>
        </w:rPr>
        <w:t xml:space="preserve">Problem formulation.</w:t>
      </w:r>
      <w:r>
        <w:t xml:space="preserve"> We formulate </w:t>
      </w:r>
      <w:r>
        <w:rPr>
          <w:b/>
        </w:rPr>
        <w:t xml:space="preserve">evidence sufficiency calibration</w:t>
      </w:r>
      <w:r>
        <w:t xml:space="preserve"> as a task distinct from support/refute/NEI verification: given a scientific claim and evidence, judge whether the evidence is sufficient for the </w:t>
      </w:r>
      <w:r>
        <w:rPr>
          <w:i/>
        </w:rPr>
        <w:t xml:space="preserve">strength</w:t>
      </w:r>
      <w:r>
        <w:t xml:space="preserve"> of the claim — its scope, action framing, deployment implications, safety conclusions, and generalization breadth — not merely whether the evidence is topically related.</w:t>
      </w:r>
    </w:p>
    <w:p>
      <w:pPr>
        <w:pStyle w:val="ListNumber"/>
      </w:pPr>
      <w:r>
        <w:rPr>
          <w:b/>
        </w:rPr>
        <w:t xml:space="preserve">Four-class taxonomy.</w:t>
      </w:r>
      <w:r>
        <w:t xml:space="preserve"> We define a </w:t>
      </w:r>
      <w:r>
        <w:rPr>
          <w:b/>
        </w:rPr>
        <w:t xml:space="preserve">four-class taxonomy</w:t>
      </w:r>
      <w:r>
        <w:t xml:space="preserve"> for scientific claim calibration — supported, mild_scope_overclaim, strong_action_overclaim, contradiction_candidate — with an operational decision tree (Figure 2), concrete examples (Table 0), and explicit boundary rules. The separability of strong_action_overclaim as a reliably drawable class is a hypothesis tested by the pre-registered gold adjudication (§VII), not an assumption taken as already proven.</w:t>
      </w:r>
    </w:p>
    <w:p>
      <w:pPr>
        <w:pStyle w:val="ListNumber"/>
      </w:pPr>
      <w:r>
        <w:rPr>
          <w:b/>
        </w:rPr>
        <w:t xml:space="preserve">Controlled diagnostic benchmark.</w:t>
      </w:r>
      <w:r>
        <w:t xml:space="preserve"> We construct </w:t>
      </w:r>
      <w:r>
        <w:rPr>
          <w:b/>
        </w:rPr>
        <w:t xml:space="preserve">SimClaim</w:t>
      </w:r>
      <w:r>
        <w:t xml:space="preserve">, a controlled silver-stage diagnostic benchmark of 444 claim–evidence pairs across 111 evidence groups and six domains, with AI-preannotated and author-screened labels, group-aware splits, an author sanity audit (40 cases), and a frozen high-risk sample bank for gold adjudication priority.</w:t>
      </w:r>
    </w:p>
    <w:p>
      <w:pPr>
        <w:pStyle w:val="ListNumber"/>
      </w:pPr>
      <w:r>
        <w:rPr>
          <w:b/>
        </w:rPr>
        <w:t xml:space="preserve">Structured screening framework.</w:t>
      </w:r>
      <w:r>
        <w:t xml:space="preserve"> We propose </w:t>
      </w:r>
      <w:r>
        <w:rPr>
          <w:b/>
        </w:rPr>
        <w:t xml:space="preserve">CESE-OCN/R4</w:t>
      </w:r>
      <w:r>
        <w:t xml:space="preserve">, a structured evidence-relation screening framework that complements black-box LLM judges via relation-specific routing — a contradiction detector, a scope-calibration residual classifier, and a conservative strong-action escalation route — with frozen thresholds and explicit acknowledgment that R4 sacrifices overall macro-F1 for targeted strong_action recall.</w:t>
      </w:r>
    </w:p>
    <w:p>
      <w:pPr>
        <w:pStyle w:val="ListNumber"/>
      </w:pPr>
      <w:r>
        <w:rPr>
          <w:b/>
        </w:rPr>
        <w:t xml:space="preserve">Controlled silver-stage evidence and pre-registered validation.</w:t>
      </w:r>
      <w:r>
        <w:t xml:space="preserve"> We report controlled silver-stage evidence that, under the tested prompts, LLM judges under-detect strong_action_overclaim while R4 provides complementary screening signal, and we </w:t>
      </w:r>
      <w:r>
        <w:rPr>
          <w:b/>
        </w:rPr>
        <w:t xml:space="preserve">pre-register a gold adjudication protocol</w:t>
      </w:r>
      <w:r>
        <w:t xml:space="preserve"> (§VII) with frozen success and downgrade criteria — a protocol-locked validation mechanism, not a post-hoc tuning loop — to determine whether the silver-stage patterns are treated as validated.</w:t>
      </w:r>
    </w:p>
    <w:p>
      <w:r>
        <w:t xml:space="preserve">The remainder of the paper is organized as follows: §II positions the work; §III formulates the task and provides taxonomy examples (Table 0) and the decision tree (Figure 2); §IV describes the CESE-OCN/R4 framework (Figure 1); §V describes the data and protocol; §VI reports controlled silver-stage results (Figure 3, Tables 1–3); </w:t>
      </w:r>
      <w:r>
        <w:rPr>
          <w:b/>
        </w:rPr>
        <w:t xml:space="preserve">§VII specifies the pre-registered gold validation protocol, including placeholder Tables G1–G3 and frozen success/downgrade criteria</w:t>
      </w:r>
      <w:r>
        <w:t xml:space="preserve">; §VIII discusses implications, including three non-gold credibility checks (§VIII.D) that test evidence necessity, screening utility, and label-shift robustness before gold adjudication; §IX states limitations; §X concludes. Case studies and detailed tables are in the appendix.</w:t>
      </w:r>
    </w:p>
    <w:p>
      <w:pPr>
        <w:pStyle w:val="Heading2"/>
      </w:pPr>
      <w:r>
        <w:t xml:space="preserve">II. Related Work and Positioning</w:t>
      </w:r>
    </w:p>
    <w:p>
      <w:r>
        <w:t xml:space="preserve">Generic claim verification and NLI estimate whether evidence supports or contradicts a statement (FEVER [1], SNLI [2], SciFact [3]). Recent scientific claim verification datasets and claim-evidence reasoning benchmarks extend this line to larger scientific-paper settings and full-paper evidence links [27], [28]. Related claim-citation alignment systems also emphasize selective escalation from abstract-level reasoning to passage-level evidence when local evidence is insufficient [29]. These works motivate scientific claim-evidence reasoning but generally do not isolate the particular relation of evidence-to-claim </w:t>
      </w:r>
      <w:r>
        <w:rPr>
          <w:i/>
        </w:rPr>
        <w:t xml:space="preserve">strength</w:t>
      </w:r>
      <w:r>
        <w:t xml:space="preserve"> mismatch.</w:t>
      </w:r>
    </w:p>
    <w:p>
      <w:r>
        <w:t xml:space="preserve">RAG evaluation and LLM-as-judge frameworks (RAGAs [12], ARES [13], G-Eval [14], MT-Bench [15]) evaluate faithfulness, context relevance, or answer quality for generic factuality, not for the specific failure mode of evidence-claim </w:t>
      </w:r>
      <w:r>
        <w:rPr>
          <w:i/>
        </w:rPr>
        <w:t xml:space="preserve">strength</w:t>
      </w:r>
      <w:r>
        <w:t xml:space="preserve"> mismatch. Recent LLM-as-judge surveys and benchmarks further caution that LLM judges need task-specific validation against human judgments, especially in high-stakes or correctness-sensitive settings [32]–[34]. Hedging detection [25] and NLI calibration [26] are related but do not introduce a strength-calibration taxonomy. CESE-OCN is complementary: it asks whether a scientific claim calibrates its strength to the evidence available, including cases where the claim is topically relevant but over-extends the action implied by the evidence.</w:t>
      </w:r>
    </w:p>
    <w:p>
      <w:r>
        <w:t xml:space="preserve">The closest recent line to our framing is scientific overstatement and evidence-aligned claim evaluation. RIGOURATE explicitly quantifies scientific exaggeration by aligning paper claims with supporting evidence and predicting overstatement scores [30], while the evidence-licensed claims perspective frames scientific writing as a problem of calibrating assertion rights to available evidence [31]. CESE-OCN differs by operationalizing this idea as a four-class claim-evidence relation taxonomy with a relation-specific router for strong_action_overclaim.</w:t>
      </w:r>
    </w:p>
    <w:p>
      <w:r>
        <w:t xml:space="preserve">The controlled silver-stage evidence suggests that contradiction, scope shift, and action escalation should not be treated as identical classification errors. Contradiction aligns naturally with NLI-style signals. Mild scope shift remains ambiguous and may require finer annotation. </w:t>
      </w:r>
      <w:r>
        <w:rPr>
          <w:b/>
        </w:rPr>
        <w:t xml:space="preserve">Strong action overclaim sits between support and contradiction</w:t>
      </w:r>
      <w:r>
        <w:t xml:space="preserve">: the evidence may support a factual finding but not the action, deployment, or generalization asserted by the claim. This is why a single flat four-class classifier under-performs on strong_action_overclaim (on the controlled silver-stage evaluation, baseline strong-F1 0.2408), and why a relation-specific router (R4, controlled silver-stage strong-F1 0.3967) is needed. Whether this pattern holds under gold adjudication is the subject of the protocol-locked validation in §VII.</w:t>
      </w:r>
    </w:p>
    <w:p>
      <w:r>
        <w:t xml:space="preserve">This manuscript is a </w:t>
      </w:r>
      <w:r>
        <w:rPr>
          <w:b/>
        </w:rPr>
        <w:t xml:space="preserve">framework-level contribution</w:t>
      </w:r>
      <w:r>
        <w:t xml:space="preserve">: an evidence-sufficiency calibration framework with a relation-specific router, a controlled diagnostic benchmark, and a protocol-locked validation mechanism. It is not a final public benchmark, not a human-gold evaluation, and not a claim that all four classes are solved. All LLM comparison results are labeled as small-sample controlled evaluation (N ≤ 200) and are never merged with SimClaim main results or claimed as gold standard.</w:t>
      </w:r>
    </w:p>
    <w:p>
      <w:pPr>
        <w:pStyle w:val="Heading2"/>
      </w:pPr>
      <w:r>
        <w:t xml:space="preserve">III. Task and Problem Formulation</w:t>
      </w:r>
    </w:p>
    <w:p>
      <w:pPr>
        <w:pStyle w:val="Heading3"/>
      </w:pPr>
      <w:r>
        <w:t xml:space="preserve">A. Evidence Sufficiency Calibration Task</w:t>
      </w:r>
    </w:p>
    <w:p>
      <w:r>
        <w:t xml:space="preserve">Each instance consists of a claim, an evidence span, and a silver candidate label in four relation classes:</w:t>
      </w:r>
    </w:p>
    <w:p>
      <w:pPr>
        <w:pStyle w:val="ListBullet"/>
      </w:pPr>
      <w:r>
        <w:rPr>
          <w:b/>
        </w:rPr>
        <w:t xml:space="preserve">supported</w:t>
      </w:r>
      <w:r>
        <w:t xml:space="preserve">: the evidence supports the claim as stated, including its strength. This is not "the claim is absolutely true" — it means the evidence is sufficient for the strength of the claim as written.</w:t>
      </w:r>
    </w:p>
    <w:p>
      <w:pPr>
        <w:pStyle w:val="ListBullet"/>
      </w:pPr>
      <w:r>
        <w:rPr>
          <w:b/>
        </w:rPr>
        <w:t xml:space="preserve">mild_scope_overclaim</w:t>
      </w:r>
      <w:r>
        <w:t xml:space="preserve">: the evidence supports a weaker version of the claim; the claim mildly over-extends the scope (e.g., a single-dataset result is framed as a multi-dataset result), but no action/deployment/safety conclusion is asserted.</w:t>
      </w:r>
    </w:p>
    <w:p>
      <w:pPr>
        <w:pStyle w:val="ListBullet"/>
      </w:pPr>
      <w:r>
        <w:rPr>
          <w:b/>
        </w:rPr>
        <w:t xml:space="preserve">strong_action_overclaim</w:t>
      </w:r>
      <w:r>
        <w:t xml:space="preserve">: the claim asserts an action, deployment, safety, policy, generalization, guarantee, or operational conclusion that the evidence does not justify. </w:t>
      </w:r>
      <w:r>
        <w:rPr>
          <w:b/>
        </w:rPr>
        <w:t xml:space="preserve">strong_action_overclaim is not the same as contradiction</w:t>
      </w:r>
      <w:r>
        <w:t xml:space="preserve">: the claim may be directionally consistent with the evidence, but its strength is excessive.</w:t>
      </w:r>
    </w:p>
    <w:p>
      <w:pPr>
        <w:pStyle w:val="ListBullet"/>
      </w:pPr>
      <w:r>
        <w:rPr>
          <w:b/>
        </w:rPr>
        <w:t xml:space="preserve">contradiction_candidate</w:t>
      </w:r>
      <w:r>
        <w:t xml:space="preserve">: the evidence contradicts the claim; the claim and evidence point in opposite directions on the same metric or conclusion (including detail-swapping of numbers, names, or metrics).</w:t>
      </w:r>
    </w:p>
    <w:p>
      <w:r>
        <w:t xml:space="preserve">Labels are treated as AI-preannotated development labels (silver), pending independent gold adjudication (§VII).</w:t>
      </w:r>
    </w:p>
    <w:p>
      <w:pPr>
        <w:pStyle w:val="Heading3"/>
      </w:pPr>
      <w:r>
        <w:t xml:space="preserve">B. Taxonomy Decision Tree (Figure 2)</w:t>
      </w:r>
    </w:p>
    <w:p>
      <w:r>
        <w:t xml:space="preserve">To make the taxonomy operationalizable and reduce the boundary confusion identified in the author sanity audit (§V.D), we introduce a four-step decision tree for label assignment. Figure 2 shows the simplified tree; the full operational version is in `taxonomy_boundary_decision_tree.md`.</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Step 1: Directional Conflict?         |</w:t>
      </w:r>
    </w:p>
    <w:p>
      <w:pPr>
        <w:pStyle w:val="TableCell"/>
      </w:pPr>
      <w:r>
        <w:rPr>
          <w:rFonts w:ascii="Consolas" w:hAnsi="Consolas"/>
        </w:rPr>
        <w:t xml:space="preserve">              | Does the claim point OPPOSITE to      |</w:t>
      </w:r>
    </w:p>
    <w:p>
      <w:pPr>
        <w:pStyle w:val="TableCell"/>
      </w:pPr>
      <w:r>
        <w:rPr>
          <w:rFonts w:ascii="Consolas" w:hAnsi="Consolas"/>
        </w:rPr>
        <w:t xml:space="preserve">              | evidence on the same metric, number,  |</w:t>
      </w:r>
    </w:p>
    <w:p>
      <w:pPr>
        <w:pStyle w:val="TableCell"/>
      </w:pPr>
      <w:r>
        <w:rPr>
          <w:rFonts w:ascii="Consolas" w:hAnsi="Consolas"/>
        </w:rPr>
        <w:t xml:space="preserve">              | entity, or conclusion?                |</w:t>
      </w:r>
    </w:p>
    <w:p>
      <w:pPr>
        <w:pStyle w:val="TableCell"/>
      </w:pPr>
      <w:r>
        <w:rPr>
          <w:rFonts w:ascii="Consolas" w:hAnsi="Consolas"/>
        </w:rPr>
        <w:t xml:space="preserve">              | (includes detail-swapping)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contradiction_ |        | Step 2: Action/Deployment/  |</w:t>
      </w:r>
    </w:p>
    <w:p>
      <w:pPr>
        <w:pStyle w:val="TableCell"/>
      </w:pPr>
      <w:r>
        <w:rPr>
          <w:rFonts w:ascii="Consolas" w:hAnsi="Consolas"/>
        </w:rPr>
        <w:t xml:space="preserve">        | candidate      |        | Safety/Operational Cue?     |</w:t>
      </w:r>
    </w:p>
    <w:p>
      <w:pPr>
        <w:pStyle w:val="TableCell"/>
      </w:pPr>
      <w:r>
        <w:rPr>
          <w:rFonts w:ascii="Consolas" w:hAnsi="Consolas"/>
        </w:rPr>
        <w:t xml:space="preserve">        +----------------+        | (deploy, safety, guarantee, |</w:t>
      </w:r>
    </w:p>
    <w:p>
      <w:pPr>
        <w:pStyle w:val="TableCell"/>
      </w:pPr>
      <w:r>
        <w:rPr>
          <w:rFonts w:ascii="Consolas" w:hAnsi="Consolas"/>
        </w:rPr>
        <w:t xml:space="preserve">                                  | operational, policy, broad   |</w:t>
      </w:r>
    </w:p>
    <w:p>
      <w:pPr>
        <w:pStyle w:val="TableCell"/>
      </w:pPr>
      <w:r>
        <w:rPr>
          <w:rFonts w:ascii="Consolas" w:hAnsi="Consolas"/>
        </w:rPr>
        <w:t xml:space="preserve">                                  | generalization, outperforms, |</w:t>
      </w:r>
    </w:p>
    <w:p>
      <w:pPr>
        <w:pStyle w:val="TableCell"/>
      </w:pPr>
      <w:r>
        <w:rPr>
          <w:rFonts w:ascii="Consolas" w:hAnsi="Consolas"/>
        </w:rPr>
        <w:t xml:space="preserve">                                  | suitable for, theoretically  |</w:t>
      </w:r>
    </w:p>
    <w:p>
      <w:pPr>
        <w:pStyle w:val="TableCell"/>
      </w:pPr>
      <w:r>
        <w:rPr>
          <w:rFonts w:ascii="Consolas" w:hAnsi="Consolas"/>
        </w:rPr>
        <w:t xml:space="preserve">                                  | justified, etc.)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Step 3: Evidence        |   | Step 4: Scope         |</w:t>
      </w:r>
    </w:p>
    <w:p>
      <w:pPr>
        <w:pStyle w:val="TableCell"/>
      </w:pPr>
      <w:r>
        <w:rPr>
          <w:rFonts w:ascii="Consolas" w:hAnsi="Consolas"/>
        </w:rPr>
        <w:t xml:space="preserve">                       | Sufficient for Action   |   | Over-Extension?       |</w:t>
      </w:r>
    </w:p>
    <w:p>
      <w:pPr>
        <w:pStyle w:val="TableCell"/>
      </w:pPr>
      <w:r>
        <w:rPr>
          <w:rFonts w:ascii="Consolas" w:hAnsi="Consolas"/>
        </w:rPr>
        <w:t xml:space="preserve">                       | Strength?               |   | Does the claim expand |</w:t>
      </w:r>
    </w:p>
    <w:p>
      <w:pPr>
        <w:pStyle w:val="TableCell"/>
      </w:pPr>
      <w:r>
        <w:rPr>
          <w:rFonts w:ascii="Consolas" w:hAnsi="Consolas"/>
        </w:rPr>
        <w:t xml:space="preserve">                       | Is evidence limited to  |   | scope/domain/         |</w:t>
      </w:r>
    </w:p>
    <w:p>
      <w:pPr>
        <w:pStyle w:val="TableCell"/>
      </w:pPr>
      <w:r>
        <w:rPr>
          <w:rFonts w:ascii="Consolas" w:hAnsi="Consolas"/>
        </w:rPr>
        <w:t xml:space="preserve">                       | single benchmark /      |   | population/condition/ |</w:t>
      </w:r>
    </w:p>
    <w:p>
      <w:pPr>
        <w:pStyle w:val="TableCell"/>
      </w:pPr>
      <w:r>
        <w:rPr>
          <w:rFonts w:ascii="Consolas" w:hAnsi="Consolas"/>
        </w:rPr>
        <w:t xml:space="preserve">                       | simulation / lab /      |   | temporal range beyond |</w:t>
      </w:r>
    </w:p>
    <w:p>
      <w:pPr>
        <w:pStyle w:val="TableCell"/>
      </w:pPr>
      <w:r>
        <w:rPr>
          <w:rFonts w:ascii="Consolas" w:hAnsi="Consolas"/>
        </w:rPr>
        <w:t xml:space="preserve">                       | limited metric / single |   | evidence, WITHOUT     |</w:t>
      </w:r>
    </w:p>
    <w:p>
      <w:pPr>
        <w:pStyle w:val="TableCell"/>
      </w:pPr>
      <w:r>
        <w:rPr>
          <w:rFonts w:ascii="Consolas" w:hAnsi="Consolas"/>
        </w:rPr>
        <w:t xml:space="preserve">                       | domain, while claim     |   | action consequences?  |</w:t>
      </w:r>
    </w:p>
    <w:p>
      <w:pPr>
        <w:pStyle w:val="TableCell"/>
      </w:pPr>
      <w:r>
        <w:rPr>
          <w:rFonts w:ascii="Consolas" w:hAnsi="Consolas"/>
        </w:rPr>
        <w:t xml:space="preserve">                       | asserts stronger        |   +-------+---------------+</w:t>
      </w:r>
    </w:p>
    <w:p>
      <w:pPr>
        <w:pStyle w:val="TableCell"/>
      </w:pPr>
      <w:r>
        <w:rPr>
          <w:rFonts w:ascii="Consolas" w:hAnsi="Consolas"/>
        </w:rPr>
        <w:t xml:space="preserve">                       | action conclusion?      |    YES    |    NO</w:t>
      </w:r>
    </w:p>
    <w:p>
      <w:pPr>
        <w:pStyle w:val="TableCell"/>
      </w:pPr>
      <w:r>
        <w:rPr>
          <w:rFonts w:ascii="Consolas" w:hAnsi="Consolas"/>
        </w:rPr>
        <w:t xml:space="preserve">                       +-----------+-------------+   +--------+   +--------+</w:t>
      </w:r>
    </w:p>
    <w:p>
      <w:pPr>
        <w:pStyle w:val="TableCell"/>
      </w:pPr>
      <w:r>
        <w:rPr>
          <w:rFonts w:ascii="Consolas" w:hAnsi="Consolas"/>
        </w:rPr>
        <w:t xml:space="preserve">                              YES   |   NO            v           v</w:t>
      </w:r>
    </w:p>
    <w:p>
      <w:pPr>
        <w:pStyle w:val="TableCell"/>
      </w:pPr>
      <w:r>
        <w:rPr>
          <w:rFonts w:ascii="Consolas" w:hAnsi="Consolas"/>
        </w:rPr>
        <w:t xml:space="preserve">                       +------------+   +----------+ +--------+ +--------+</w:t>
      </w:r>
    </w:p>
    <w:p>
      <w:pPr>
        <w:pStyle w:val="TableCell"/>
      </w:pPr>
      <w:r>
        <w:rPr>
          <w:rFonts w:ascii="Consolas" w:hAnsi="Consolas"/>
        </w:rPr>
        <w:t xml:space="preserve">                       v                v          | mild_   | |        |</w:t>
      </w:r>
    </w:p>
    <w:p>
      <w:pPr>
        <w:pStyle w:val="TableCell"/>
      </w:pPr>
      <w:r>
        <w:rPr>
          <w:rFonts w:ascii="Consolas" w:hAnsi="Consolas"/>
        </w:rPr>
        <w:t xml:space="preserve">                +--------------+  +------------+    | scope_  | | sup-   |</w:t>
      </w:r>
    </w:p>
    <w:p>
      <w:pPr>
        <w:pStyle w:val="TableCell"/>
      </w:pPr>
      <w:r>
        <w:rPr>
          <w:rFonts w:ascii="Consolas" w:hAnsi="Consolas"/>
        </w:rPr>
        <w:t xml:space="preserve">                | strong_      |  | Re-examine |    | over-   | | ported |</w:t>
      </w:r>
    </w:p>
    <w:p>
      <w:pPr>
        <w:pStyle w:val="TableCell"/>
      </w:pPr>
      <w:r>
        <w:rPr>
          <w:rFonts w:ascii="Consolas" w:hAnsi="Consolas"/>
        </w:rPr>
        <w:t xml:space="preserve">                | action_      |  | as sup.    |    | claim   | |        |</w:t>
      </w:r>
    </w:p>
    <w:p>
      <w:pPr>
        <w:pStyle w:val="TableCell"/>
      </w:pPr>
      <w:r>
        <w:rPr>
          <w:rFonts w:ascii="Consolas" w:hAnsi="Consolas"/>
        </w:rPr>
        <w:t xml:space="preserve">                | overclaim    |  | or mild    |    +---------+ +--------+</w:t>
      </w:r>
    </w:p>
    <w:p>
      <w:pPr>
        <w:pStyle w:val="TableCell"/>
      </w:pPr>
      <w:r>
        <w:rPr>
          <w:rFonts w:ascii="Consolas" w:hAnsi="Consolas"/>
        </w:rPr>
        <w:t xml:space="preserve">                +--------------+  +------------+</w:t>
      </w:r>
    </w:p>
    <w:p>
      <w:r>
        <w:rPr>
          <w:b/>
        </w:rPr>
        <w:t xml:space="preserve">Figure 2.</w:t>
      </w:r>
      <w:r>
        <w:t xml:space="preserve"> Taxonomy decision tree (simplified). Step 1: directional conflict on the same metric/number/entity → `contradiction_candidate` (including detail-swapping). Step 2-3: action/deployment/safety/operational cue present and evidence insufficient for action strength → `strong_action_overclaim`. Step 4: scope over-extension without action consequences → `mild_scope_overclaim`; otherwise → `supported`. The full operational version with cue lists and boundary-case rules is in `taxonomy_boundary_decision_tree.md`.</w:t>
      </w:r>
    </w:p>
    <w:p>
      <w:r>
        <w:rPr>
          <w:b/>
        </w:rPr>
        <w:t xml:space="preserve">Key distinctions operationalized by this tree:</w:t>
      </w:r>
    </w:p>
    <w:p>
      <w:pPr>
        <w:pStyle w:val="ListNumber"/>
      </w:pPr>
      <w:r>
        <w:rPr>
          <w:b/>
        </w:rPr>
        <w:t xml:space="preserve">strong_action_overclaim does not require directional conflict.</w:t>
      </w:r>
      <w:r>
        <w:t xml:space="preserve"> The claim may align with evidence direction, but its </w:t>
      </w:r>
      <w:r>
        <w:rPr>
          <w:i/>
        </w:rPr>
        <w:t xml:space="preserve">strength</w:t>
      </w:r>
      <w:r>
        <w:t xml:space="preserve"> (action/deployment/safety assertion) exceeds what the evidence warrants.</w:t>
      </w:r>
    </w:p>
    <w:p>
      <w:pPr>
        <w:pStyle w:val="ListNumber"/>
      </w:pPr>
      <w:r>
        <w:rPr>
          <w:b/>
        </w:rPr>
        <w:t xml:space="preserve">contradiction_candidate is about directional conflict</w:t>
      </w:r>
      <w:r>
        <w:t xml:space="preserve"> on the same metric/number/entity, including detail-swapping (e.g., evidence says "6 systems", claim says "8 systems").</w:t>
      </w:r>
    </w:p>
    <w:p>
      <w:pPr>
        <w:pStyle w:val="ListNumber"/>
      </w:pPr>
      <w:r>
        <w:rPr>
          <w:b/>
        </w:rPr>
        <w:t xml:space="preserve">mild_scope_overclaim is about scope/generalization over-extension</w:t>
      </w:r>
      <w:r>
        <w:t xml:space="preserve"> without action/deployment/safety consequences.</w:t>
      </w:r>
    </w:p>
    <w:p>
      <w:pPr>
        <w:pStyle w:val="ListNumber"/>
      </w:pPr>
      <w:r>
        <w:rPr>
          <w:b/>
        </w:rPr>
        <w:t xml:space="preserve">supported means evidence is sufficient for the claim's stated strength</w:t>
      </w:r>
      <w:r>
        <w:t xml:space="preserve">, not that the claim is "absolutely true."</w:t>
      </w:r>
    </w:p>
    <w:p>
      <w:r>
        <w:t xml:space="preserve">The decision tree is a </w:t>
      </w:r>
      <w:r>
        <w:rPr>
          <w:i/>
        </w:rPr>
        <w:t xml:space="preserve">labeling aid</w:t>
      </w:r>
      <w:r>
        <w:t xml:space="preserve">, not a validated annotation scheme. Cases where the tree yields ambiguous results are flagged as boundary cases for gold adjudication (§V.D, `high_risk_sample_bank.csv`). Table 0 (below) provides 8 illustrative examples (2 per class) from the SimClaim silver set, all traceable to `strict_silver_max_candidates_v1.csv`; full versions are in `table_taxonomy_examples_v3_6_clean.csv`. The V3.6 case integrity audit replaced the V3.5 T2 mild case (TCB_008, number inflation that a reviewer would judge as contradiction) with a clean scope-expansion case (SBV2-ALL92-G170-C02, numbers match exactly, only scope adjective added) — see `case_integrity_audit.csv` for the full audit.</w:t>
      </w:r>
    </w:p>
    <w:p>
      <w:r>
        <w:rPr>
          <w:b/>
        </w:rPr>
        <w:t xml:space="preserve">Table 0. Taxonomy examples (8 cases, 2 per class, silver-label SimClaim).</w:t>
      </w:r>
      <w:r>
        <w:t xml:space="preserve"> See `table_taxonomy_examples_v3_6_clean.csv` for full 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Class</w:t>
            </w:r>
          </w:p>
        </w:tc>
        <w:tc>
          <w:tcPr>
            <w:tcW w:w="2000" w:type="dxa"/>
          </w:tcPr>
          <w:p>
            <w:pPr>
              <w:pStyle w:val="TableCell"/>
            </w:pPr>
            <w:r>
              <w:rPr>
                <w:b/>
              </w:rPr>
              <w:t xml:space="preserve">case_id</w:t>
            </w:r>
          </w:p>
        </w:tc>
        <w:tc>
          <w:tcPr>
            <w:tcW w:w="2000" w:type="dxa"/>
          </w:tcPr>
          <w:p>
            <w:pPr>
              <w:pStyle w:val="TableCell"/>
            </w:pPr>
            <w:r>
              <w:rPr>
                <w:b/>
              </w:rPr>
              <w:t xml:space="preserve">candidate_id</w:t>
            </w:r>
          </w:p>
        </w:tc>
        <w:tc>
          <w:tcPr>
            <w:tcW w:w="2000" w:type="dxa"/>
          </w:tcPr>
          <w:p>
            <w:pPr>
              <w:pStyle w:val="TableCell"/>
            </w:pPr>
            <w:r>
              <w:rPr>
                <w:b/>
              </w:rPr>
              <w:t xml:space="preserve">domain</w:t>
            </w:r>
          </w:p>
        </w:tc>
        <w:tc>
          <w:tcPr>
            <w:tcW w:w="2000" w:type="dxa"/>
          </w:tcPr>
          <w:p>
            <w:pPr>
              <w:pStyle w:val="TableCell"/>
            </w:pPr>
            <w:r>
              <w:rPr>
                <w:b/>
              </w:rPr>
              <w:t xml:space="preserve">claim (short)</w:t>
            </w:r>
          </w:p>
        </w:tc>
      </w:tr>
      <w:tr>
        <w:tc>
          <w:tcPr>
            <w:tcW w:w="2000" w:type="dxa"/>
          </w:tcPr>
          <w:p>
            <w:pPr>
              <w:pStyle w:val="TableCell"/>
            </w:pPr>
            <w:r>
              <w:t xml:space="preserve">supported</w:t>
            </w:r>
          </w:p>
        </w:tc>
        <w:tc>
          <w:tcPr>
            <w:tcW w:w="2000" w:type="dxa"/>
          </w:tcPr>
          <w:p>
            <w:pPr>
              <w:pStyle w:val="TableCell"/>
            </w:pPr>
            <w:r>
              <w:t xml:space="preserve">TCB_001</w:t>
            </w:r>
          </w:p>
        </w:tc>
        <w:tc>
          <w:tcPr>
            <w:tcW w:w="2000" w:type="dxa"/>
          </w:tcPr>
          <w:p>
            <w:pPr>
              <w:pStyle w:val="TableCell"/>
            </w:pPr>
            <w:r>
              <w:t xml:space="preserve">SBV2-ALL92-G215-C01</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and interpretation require expertise.</w:t>
            </w:r>
          </w:p>
        </w:tc>
      </w:tr>
      <w:tr>
        <w:tc>
          <w:tcPr>
            <w:tcW w:w="2000" w:type="dxa"/>
          </w:tcPr>
          <w:p>
            <w:pPr>
              <w:pStyle w:val="TableCell"/>
            </w:pPr>
            <w:r>
              <w:t xml:space="preserve">supported</w:t>
            </w:r>
          </w:p>
        </w:tc>
        <w:tc>
          <w:tcPr>
            <w:tcW w:w="2000" w:type="dxa"/>
          </w:tcPr>
          <w:p>
            <w:pPr>
              <w:pStyle w:val="TableCell"/>
            </w:pPr>
            <w:r>
              <w:t xml:space="preserve">TCB_004</w:t>
            </w:r>
          </w:p>
        </w:tc>
        <w:tc>
          <w:tcPr>
            <w:tcW w:w="2000" w:type="dxa"/>
          </w:tcPr>
          <w:p>
            <w:pPr>
              <w:pStyle w:val="TableCell"/>
            </w:pPr>
            <w:r>
              <w:t xml:space="preserve">SBV2-ALL92-G067-C01</w:t>
            </w:r>
          </w:p>
        </w:tc>
        <w:tc>
          <w:tcPr>
            <w:tcW w:w="2000" w:type="dxa"/>
          </w:tcPr>
          <w:p>
            <w:pPr>
              <w:pStyle w:val="TableCell"/>
            </w:pPr>
            <w:r>
              <w:t xml:space="preserve">cyber_defense</w:t>
            </w:r>
          </w:p>
        </w:tc>
        <w:tc>
          <w:tcPr>
            <w:tcW w:w="2000" w:type="dxa"/>
          </w:tcPr>
          <w:p>
            <w:pPr>
              <w:pStyle w:val="TableCell"/>
            </w:pPr>
            <w:r>
              <w:t xml:space="preserve">AgentCyberRange study evaluates six frontier AI systems under matched prompts and budgets.</w:t>
            </w:r>
          </w:p>
        </w:tc>
      </w:tr>
      <w:tr>
        <w:tc>
          <w:tcPr>
            <w:tcW w:w="2000" w:type="dxa"/>
          </w:tcPr>
          <w:p>
            <w:pPr>
              <w:pStyle w:val="TableCell"/>
            </w:pPr>
            <w:r>
              <w:t xml:space="preserve">mild_scope_overclaim</w:t>
            </w:r>
          </w:p>
        </w:tc>
        <w:tc>
          <w:tcPr>
            <w:tcW w:w="2000" w:type="dxa"/>
          </w:tcPr>
          <w:p>
            <w:pPr>
              <w:pStyle w:val="TableCell"/>
            </w:pPr>
            <w:r>
              <w:t xml:space="preserve">TCB_007</w:t>
            </w:r>
          </w:p>
        </w:tc>
        <w:tc>
          <w:tcPr>
            <w:tcW w:w="2000" w:type="dxa"/>
          </w:tcPr>
          <w:p>
            <w:pPr>
              <w:pStyle w:val="TableCell"/>
            </w:pPr>
            <w:r>
              <w:t xml:space="preserve">SBV2-ALL92-G002-MILD</w:t>
            </w:r>
          </w:p>
        </w:tc>
        <w:tc>
          <w:tcPr>
            <w:tcW w:w="2000" w:type="dxa"/>
          </w:tcPr>
          <w:p>
            <w:pPr>
              <w:pStyle w:val="TableCell"/>
            </w:pPr>
            <w:r>
              <w:t xml:space="preserve">autonomous_driving</w:t>
            </w:r>
          </w:p>
        </w:tc>
        <w:tc>
          <w:tcPr>
            <w:tcW w:w="2000" w:type="dxa"/>
          </w:tcPr>
          <w:p>
            <w:pPr>
              <w:pStyle w:val="TableCell"/>
            </w:pPr>
            <w:r>
              <w:t xml:space="preserve">nuPlan-R adds Success Rate and All-Core Pass Rate metrics to assess planner robustness and performance balance as the main comparison basis.</w:t>
            </w:r>
          </w:p>
        </w:tc>
      </w:tr>
      <w:tr>
        <w:tc>
          <w:tcPr>
            <w:tcW w:w="2000" w:type="dxa"/>
          </w:tcPr>
          <w:p>
            <w:pPr>
              <w:pStyle w:val="TableCell"/>
            </w:pPr>
            <w:r>
              <w:t xml:space="preserve">mild_scope_overclaim</w:t>
            </w:r>
          </w:p>
        </w:tc>
        <w:tc>
          <w:tcPr>
            <w:tcW w:w="2000" w:type="dxa"/>
          </w:tcPr>
          <w:p>
            <w:pPr>
              <w:pStyle w:val="TableCell"/>
            </w:pPr>
            <w:r>
              <w:t xml:space="preserve">TCB_NEW_MILD_2</w:t>
            </w:r>
          </w:p>
        </w:tc>
        <w:tc>
          <w:tcPr>
            <w:tcW w:w="2000" w:type="dxa"/>
          </w:tcPr>
          <w:p>
            <w:pPr>
              <w:pStyle w:val="TableCell"/>
            </w:pPr>
            <w:r>
              <w:t xml:space="preserve">SBV2-ALL92-G170-C02</w:t>
            </w:r>
          </w:p>
        </w:tc>
        <w:tc>
          <w:tcPr>
            <w:tcW w:w="2000" w:type="dxa"/>
          </w:tcPr>
          <w:p>
            <w:pPr>
              <w:pStyle w:val="TableCell"/>
            </w:pPr>
            <w:r>
              <w:t xml:space="preserve">robotics</w:t>
            </w:r>
          </w:p>
        </w:tc>
        <w:tc>
          <w:tcPr>
            <w:tcW w:w="2000" w:type="dxa"/>
          </w:tcPr>
          <w:p>
            <w:pPr>
              <w:pStyle w:val="TableCell"/>
            </w:pPr>
            <w:r>
              <w:t xml:space="preserve">In simulation, GRaD-Nav++ reports success rates of 83% on trained tasks and 75% on unseen multi-stage tasks during evaluation.</w:t>
            </w:r>
          </w:p>
        </w:tc>
      </w:tr>
      <w:tr>
        <w:tc>
          <w:tcPr>
            <w:tcW w:w="2000" w:type="dxa"/>
          </w:tcPr>
          <w:p>
            <w:pPr>
              <w:pStyle w:val="TableCell"/>
            </w:pPr>
            <w:r>
              <w:t xml:space="preserve">strong_action_overclaim</w:t>
            </w:r>
          </w:p>
        </w:tc>
        <w:tc>
          <w:tcPr>
            <w:tcW w:w="2000" w:type="dxa"/>
          </w:tcPr>
          <w:p>
            <w:pPr>
              <w:pStyle w:val="TableCell"/>
            </w:pPr>
            <w:r>
              <w:t xml:space="preserve">TCB_009</w:t>
            </w:r>
          </w:p>
        </w:tc>
        <w:tc>
          <w:tcPr>
            <w:tcW w:w="2000" w:type="dxa"/>
          </w:tcPr>
          <w:p>
            <w:pPr>
              <w:pStyle w:val="TableCell"/>
            </w:pPr>
            <w:r>
              <w:t xml:space="preserve">SBV2-ALL92-G215-C03</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interpretation, and validation require extensive expertise.</w:t>
            </w:r>
          </w:p>
        </w:tc>
      </w:tr>
      <w:tr>
        <w:tc>
          <w:tcPr>
            <w:tcW w:w="2000" w:type="dxa"/>
          </w:tcPr>
          <w:p>
            <w:pPr>
              <w:pStyle w:val="TableCell"/>
            </w:pPr>
            <w:r>
              <w:t xml:space="preserve">strong_action_overclaim</w:t>
            </w:r>
          </w:p>
        </w:tc>
        <w:tc>
          <w:tcPr>
            <w:tcW w:w="2000" w:type="dxa"/>
          </w:tcPr>
          <w:p>
            <w:pPr>
              <w:pStyle w:val="TableCell"/>
            </w:pPr>
            <w:r>
              <w:t xml:space="preserve">TCB_012</w:t>
            </w:r>
          </w:p>
        </w:tc>
        <w:tc>
          <w:tcPr>
            <w:tcW w:w="2000" w:type="dxa"/>
          </w:tcPr>
          <w:p>
            <w:pPr>
              <w:pStyle w:val="TableCell"/>
            </w:pPr>
            <w:r>
              <w:t xml:space="preserve">SBV2-ALL92-G107-C03</w:t>
            </w:r>
          </w:p>
        </w:tc>
        <w:tc>
          <w:tcPr>
            <w:tcW w:w="2000" w:type="dxa"/>
          </w:tcPr>
          <w:p>
            <w:pPr>
              <w:pStyle w:val="TableCell"/>
            </w:pPr>
            <w:r>
              <w:t xml:space="preserve">digital_twin</w:t>
            </w:r>
          </w:p>
        </w:tc>
        <w:tc>
          <w:tcPr>
            <w:tcW w:w="2000" w:type="dxa"/>
          </w:tcPr>
          <w:p>
            <w:pPr>
              <w:pStyle w:val="TableCell"/>
            </w:pPr>
            <w:r>
              <w:t xml:space="preserve">Approach jointly calibrates digital twin and searches for optimal control rule, outperforming existing methods in numerical biopharmaceutical experiments and direct physical plant trials.</w:t>
            </w:r>
          </w:p>
        </w:tc>
      </w:tr>
      <w:tr>
        <w:tc>
          <w:tcPr>
            <w:tcW w:w="2000" w:type="dxa"/>
          </w:tcPr>
          <w:p>
            <w:pPr>
              <w:pStyle w:val="TableCell"/>
            </w:pPr>
            <w:r>
              <w:t xml:space="preserve">contradiction_candidate</w:t>
            </w:r>
          </w:p>
        </w:tc>
        <w:tc>
          <w:tcPr>
            <w:tcW w:w="2000" w:type="dxa"/>
          </w:tcPr>
          <w:p>
            <w:pPr>
              <w:pStyle w:val="TableCell"/>
            </w:pPr>
            <w:r>
              <w:t xml:space="preserve">TCB_015</w:t>
            </w:r>
          </w:p>
        </w:tc>
        <w:tc>
          <w:tcPr>
            <w:tcW w:w="2000" w:type="dxa"/>
          </w:tcPr>
          <w:p>
            <w:pPr>
              <w:pStyle w:val="TableCell"/>
            </w:pPr>
            <w:r>
              <w:t xml:space="preserve">SBV2-ALL92-G215-C04</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is clear because calibration, data integration, and interpretation require little expertise.</w:t>
            </w:r>
          </w:p>
        </w:tc>
      </w:tr>
      <w:tr>
        <w:tc>
          <w:tcPr>
            <w:tcW w:w="2000" w:type="dxa"/>
          </w:tcPr>
          <w:p>
            <w:pPr>
              <w:pStyle w:val="TableCell"/>
            </w:pPr>
            <w:r>
              <w:t xml:space="preserve">contradiction_candidate</w:t>
            </w:r>
          </w:p>
        </w:tc>
        <w:tc>
          <w:tcPr>
            <w:tcW w:w="2000" w:type="dxa"/>
          </w:tcPr>
          <w:p>
            <w:pPr>
              <w:pStyle w:val="TableCell"/>
            </w:pPr>
            <w:r>
              <w:t xml:space="preserve">TCB_018</w:t>
            </w:r>
          </w:p>
        </w:tc>
        <w:tc>
          <w:tcPr>
            <w:tcW w:w="2000" w:type="dxa"/>
          </w:tcPr>
          <w:p>
            <w:pPr>
              <w:pStyle w:val="TableCell"/>
            </w:pPr>
            <w:r>
              <w:t xml:space="preserve">SBV2-ALL92-G036-C04</w:t>
            </w:r>
          </w:p>
        </w:tc>
        <w:tc>
          <w:tcPr>
            <w:tcW w:w="2000" w:type="dxa"/>
          </w:tcPr>
          <w:p>
            <w:pPr>
              <w:pStyle w:val="TableCell"/>
            </w:pPr>
            <w:r>
              <w:t xml:space="preserve">autonomous_driving</w:t>
            </w:r>
          </w:p>
        </w:tc>
        <w:tc>
          <w:tcPr>
            <w:tcW w:w="2000" w:type="dxa"/>
          </w:tcPr>
          <w:p>
            <w:pPr>
              <w:pStyle w:val="TableCell"/>
            </w:pPr>
            <w:r>
              <w:t xml:space="preserve">Bench2Drive describes official training data as already available, making method comparisons operate at algorithm level rather than system level.</w:t>
            </w:r>
          </w:p>
        </w:tc>
      </w:tr>
    </w:tbl>
    <w:p>
      <w:pPr>
        <w:pStyle w:val="Heading3"/>
      </w:pPr>
      <w:r>
        <w:t xml:space="preserve">C. Why strong_action_overclaim Is the High-Risk Boundary Class</w:t>
      </w:r>
    </w:p>
    <w:p>
      <w:r>
        <w:t xml:space="preserve">strong_action_overclaim is the most consequential class for scientific claim calibration, because it corresponds to cases where a claim is </w:t>
      </w:r>
      <w:r>
        <w:rPr>
          <w:i/>
        </w:rPr>
        <w:t xml:space="preserve">actionable</w:t>
      </w:r>
      <w:r>
        <w:t xml:space="preserve"> (deployment, policy, safety) but the evidence is </w:t>
      </w:r>
      <w:r>
        <w:rPr>
          <w:i/>
        </w:rPr>
        <w:t xml:space="preserve">insufficient</w:t>
      </w:r>
      <w:r>
        <w:t xml:space="preserve"> for that action. It is also the hardest to detect, because: (1) the evidence is often relevant and non-contradictory; (2) the claim is not strictly false — it over-extends rather than fabricates; (3) generic NLI signals (entailment/contradiction) do not separate "supports a finding" from "supports the action claimed"; (4) under the tested prompts, LLM judges tend to map these cases to supported, mild_scope_overclaim, or contradiction_candidate, missing the action-escalation signal. The primary success criterion for R4 is therefore </w:t>
      </w:r>
      <w:r>
        <w:rPr>
          <w:b/>
        </w:rPr>
        <w:t xml:space="preserve">strong_action_overclaim positive-F1</w:t>
      </w:r>
      <w:r>
        <w:t xml:space="preserve">, while requiring that flat4 macro-F1, contradiction positive-F1, and escalation macro-F1 are not damaged.</w:t>
      </w:r>
    </w:p>
    <w:p>
      <w:r>
        <w:rPr>
          <w:b/>
        </w:rPr>
        <w:t xml:space="preserve">The separability of strong_action_overclaim as a reliably drawable class is a hypothesis tested by the pre-registered gold adjudication (§VII), not an assumption taken as already proven.</w:t>
      </w:r>
      <w:r>
        <w:t xml:space="preserve"> The author sanity audit (§V.D) flags strong_action_overclaim at 75% confusion rate; if gold adjudication reveals that the mild_vs_strong boundary is not reliably drawable (κ &lt; 0.40), the strong_action_overclaim class itself may need to be merged with mild, which would weaken the paper's central contribution. The paper is explicitly designed to be downgradable per §VII.G if this occurs — this is a protocol-locked safety mechanism, not a self-denial passage.</w:t>
      </w:r>
    </w:p>
    <w:p>
      <w:pPr>
        <w:pStyle w:val="Heading2"/>
      </w:pPr>
      <w:r>
        <w:t xml:space="preserve">IV. CESE-OCN/R4: A Mixed Relation-Routing Framework</w:t>
      </w:r>
    </w:p>
    <w:p>
      <w:pPr>
        <w:pStyle w:val="Heading3"/>
      </w:pPr>
      <w:r>
        <w:t xml:space="preserve">A. Framework Overview — Why Relation-Specific Routing</w:t>
      </w:r>
    </w:p>
    <w:p>
      <w:r>
        <w:t xml:space="preserve">The central design principle of R4 is that </w:t>
      </w:r>
      <w:r>
        <w:rPr>
          <w:b/>
        </w:rPr>
        <w:t xml:space="preserve">different evidence relations require different signals and should not be handled by a single flat classifier</w:t>
      </w:r>
      <w:r>
        <w:t xml:space="preserve">. The controlled silver-stage evidence is consistent with this: contradiction is comparatively well captured by NLI-style evidence signals (on the controlled silver-stage evaluation, NLI-only strong-F1 = 0.3934), while strong_action_overclaim requires action-aware features that NLI does not provide (action-gap-only strong-F1 = 0.3648; NLI + action-gap = 0.4209). A single flat four-class classifier conflates these signals and under-performs on the most consequential class (baseline strong-F1 = 0.2408).</w:t>
      </w:r>
    </w:p>
    <w:p>
      <w:r>
        <w:t xml:space="preserve">R4 is therefore designed as a </w:t>
      </w:r>
      <w:r>
        <w:rPr>
          <w:b/>
        </w:rPr>
        <w:t xml:space="preserve">relation-specific diagnostic routing framework</w:t>
      </w:r>
      <w:r>
        <w:t xml:space="preserve">, not a threshold-tuned heuristic. The routing order reflects a theoretical principle: handle the most separable relation first (contradiction), then the most consequential relation under a conservative guard (strong_action), then the residual scope calibration (supported vs. mild). Thresholds are frozen operationalizations of this principle, selected on train/dev under pre-specified constraints (§IV.D) and then frozen. R4 is explicitly a </w:t>
      </w:r>
      <w:r>
        <w:rPr>
          <w:b/>
        </w:rPr>
        <w:t xml:space="preserve">screening-oriented complement</w:t>
      </w:r>
      <w:r>
        <w:t xml:space="preserve"> to generic LLM/NLI judges, not a replacement — it is optimized to reduce under-detection of action/deployment overclaims while preserving contradiction performance, accepting a lower macro-F1 in exchange for higher strong_action recall.</w:t>
      </w:r>
    </w:p>
    <w:p>
      <w:pPr>
        <w:pStyle w:val="Heading3"/>
      </w:pPr>
      <w:r>
        <w:t xml:space="preserve">B. Routing Flow (Figure 1)</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NLI relation features                  |</w:t>
      </w:r>
    </w:p>
    <w:p>
      <w:pPr>
        <w:pStyle w:val="TableCell"/>
      </w:pPr>
      <w:r>
        <w:rPr>
          <w:rFonts w:ascii="Consolas" w:hAnsi="Consolas"/>
        </w:rPr>
        <w:t xml:space="preserve">              |  + scope / action / deployment cues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p_contra              p_strong               p_svm</w:t>
      </w:r>
    </w:p>
    <w:p>
      <w:pPr>
        <w:pStyle w:val="TableCell"/>
      </w:pPr>
      <w:r>
        <w:rPr>
          <w:rFonts w:ascii="Consolas" w:hAnsi="Consolas"/>
        </w:rPr>
        <w:t xml:space="preserve">       (contradiction)      (strong-action)       (supported/mild)</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    +--------------------+    +---------------+</w:t>
      </w:r>
    </w:p>
    <w:p>
      <w:pPr>
        <w:pStyle w:val="TableCell"/>
      </w:pPr>
      <w:r>
        <w:rPr>
          <w:rFonts w:ascii="Consolas" w:hAnsi="Consolas"/>
        </w:rPr>
        <w:t xml:space="preserve">    | Route 1:       |    | Route 2:           |    | Route 3:      |</w:t>
      </w:r>
    </w:p>
    <w:p>
      <w:pPr>
        <w:pStyle w:val="TableCell"/>
      </w:pPr>
      <w:r>
        <w:rPr>
          <w:rFonts w:ascii="Consolas" w:hAnsi="Consolas"/>
        </w:rPr>
        <w:t xml:space="preserve">    | if p_contra    |    | if p_strong&gt;=t_str |    | if p_svm&gt;=tvm |</w:t>
      </w:r>
    </w:p>
    <w:p>
      <w:pPr>
        <w:pStyle w:val="TableCell"/>
      </w:pPr>
      <w:r>
        <w:rPr>
          <w:rFonts w:ascii="Consolas" w:hAnsi="Consolas"/>
        </w:rPr>
        <w:t xml:space="preserve">    |   &gt;= t_contra  |    | AND p_contra&lt;t_low |    |   supported   |</w:t>
      </w:r>
    </w:p>
    <w:p>
      <w:pPr>
        <w:pStyle w:val="TableCell"/>
      </w:pPr>
      <w:r>
        <w:rPr>
          <w:rFonts w:ascii="Consolas" w:hAnsi="Consolas"/>
        </w:rPr>
        <w:t xml:space="preserve">    |   -&gt; contra    |    |   -&gt; strong_action |    | else          |</w:t>
      </w:r>
    </w:p>
    <w:p>
      <w:pPr>
        <w:pStyle w:val="TableCell"/>
      </w:pPr>
      <w:r>
        <w:rPr>
          <w:rFonts w:ascii="Consolas" w:hAnsi="Consolas"/>
        </w:rPr>
        <w:t xml:space="preserve">    |                |    |                    |    |   mild_scope  |</w:t>
      </w:r>
    </w:p>
    <w:p>
      <w:pPr>
        <w:pStyle w:val="TableCell"/>
      </w:pPr>
      <w:r>
        <w:rPr>
          <w:rFonts w:ascii="Consolas" w:hAnsi="Consolas"/>
        </w:rPr>
        <w:t xml:space="preserve">    +-------+--------+    +---------+----------+    +-------+-------+</w:t>
      </w:r>
    </w:p>
    <w:p>
      <w:pPr>
        <w:pStyle w:val="TableCell"/>
      </w:pPr>
      <w:r>
        <w:rPr>
          <w:rFonts w:ascii="Consolas" w:hAnsi="Consolas"/>
        </w:rPr>
        <w:t xml:space="preserve">            |                       |                      |</w:t>
      </w:r>
    </w:p>
    <w:p>
      <w:pPr>
        <w:pStyle w:val="TableCell"/>
      </w:pPr>
      <w:r>
        <w:rPr>
          <w:rFonts w:ascii="Consolas" w:hAnsi="Consolas"/>
        </w:rPr>
        <w:t xml:space="preserve">            +------+-------+--------+------+-------+-------+</w:t>
      </w:r>
    </w:p>
    <w:p>
      <w:pPr>
        <w:pStyle w:val="TableCell"/>
      </w:pPr>
      <w:r>
        <w:rPr>
          <w:rFonts w:ascii="Consolas" w:hAnsi="Consolas"/>
        </w:rPr>
        <w:t xml:space="preserve">                   |       |        |      |</w:t>
      </w:r>
    </w:p>
    <w:p>
      <w:pPr>
        <w:pStyle w:val="TableCell"/>
      </w:pPr>
      <w:r>
        <w:rPr>
          <w:rFonts w:ascii="Consolas" w:hAnsi="Consolas"/>
        </w:rPr>
        <w:t xml:space="preserve">                   v       v        v      v</w:t>
      </w:r>
    </w:p>
    <w:p>
      <w:pPr>
        <w:pStyle w:val="TableCell"/>
      </w:pPr>
      <w:r>
        <w:rPr>
          <w:rFonts w:ascii="Consolas" w:hAnsi="Consolas"/>
        </w:rPr>
        <w:t xml:space="preserve">              +-------------------------------------+</w:t>
      </w:r>
    </w:p>
    <w:p>
      <w:pPr>
        <w:pStyle w:val="TableCell"/>
      </w:pPr>
      <w:r>
        <w:rPr>
          <w:rFonts w:ascii="Consolas" w:hAnsi="Consolas"/>
        </w:rPr>
        <w:t xml:space="preserve">              |              Final Label            |</w:t>
      </w:r>
    </w:p>
    <w:p>
      <w:pPr>
        <w:pStyle w:val="TableCell"/>
      </w:pPr>
      <w:r>
        <w:rPr>
          <w:rFonts w:ascii="Consolas" w:hAnsi="Consola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Route</w:t>
            </w:r>
          </w:p>
        </w:tc>
        <w:tc>
          <w:tcPr>
            <w:tcW w:w="2000" w:type="dxa"/>
          </w:tcPr>
          <w:p>
            <w:pPr>
              <w:pStyle w:val="TableCell"/>
            </w:pPr>
            <w:r>
              <w:rPr>
                <w:b/>
              </w:rPr>
              <w:t xml:space="preserve">Order</w:t>
            </w:r>
          </w:p>
        </w:tc>
        <w:tc>
          <w:tcPr>
            <w:tcW w:w="2000" w:type="dxa"/>
          </w:tcPr>
          <w:p>
            <w:pPr>
              <w:pStyle w:val="TableCell"/>
            </w:pPr>
            <w:r>
              <w:rPr>
                <w:b/>
              </w:rPr>
              <w:t xml:space="preserve">Decision</w:t>
            </w:r>
          </w:p>
        </w:tc>
        <w:tc>
          <w:tcPr>
            <w:tcW w:w="2000" w:type="dxa"/>
          </w:tcPr>
          <w:p>
            <w:pPr>
              <w:pStyle w:val="TableCell"/>
            </w:pPr>
            <w:r>
              <w:rPr>
                <w:b/>
              </w:rPr>
              <w:t xml:space="preserve">Threshold (mean, 10 seeds)</w:t>
            </w:r>
          </w:p>
        </w:tc>
        <w:tc>
          <w:tcPr>
            <w:tcW w:w="2000" w:type="dxa"/>
          </w:tcPr>
          <w:p>
            <w:pPr>
              <w:pStyle w:val="TableCell"/>
            </w:pPr>
            <w:r>
              <w:rPr>
                <w:b/>
              </w:rPr>
              <w:t xml:space="preserve">Rationale</w:t>
            </w:r>
          </w:p>
        </w:tc>
      </w:tr>
      <w:tr>
        <w:tc>
          <w:tcPr>
            <w:tcW w:w="2000" w:type="dxa"/>
          </w:tcPr>
          <w:p>
            <w:pPr>
              <w:pStyle w:val="TableCell"/>
            </w:pPr>
            <w:r>
              <w:t xml:space="preserve">Route 1 — Contradiction</w:t>
            </w:r>
          </w:p>
        </w:tc>
        <w:tc>
          <w:tcPr>
            <w:tcW w:w="2000" w:type="dxa"/>
          </w:tcPr>
          <w:p>
            <w:pPr>
              <w:pStyle w:val="TableCell"/>
            </w:pPr>
            <w:r>
              <w:t xml:space="preserve">1st</w:t>
            </w:r>
          </w:p>
        </w:tc>
        <w:tc>
          <w:tcPr>
            <w:tcW w:w="2000" w:type="dxa"/>
          </w:tcPr>
          <w:p>
            <w:pPr>
              <w:pStyle w:val="TableCell"/>
            </w:pPr>
            <w:r>
              <w:t xml:space="preserve">if `p_contra &gt;= t_contra` → `contradiction_candidate`</w:t>
            </w:r>
          </w:p>
        </w:tc>
        <w:tc>
          <w:tcPr>
            <w:tcW w:w="2000" w:type="dxa"/>
          </w:tcPr>
          <w:p>
            <w:pPr>
              <w:pStyle w:val="TableCell"/>
            </w:pPr>
            <w:r>
              <w:t xml:space="preserve">`t_contra = 0.48`</w:t>
            </w:r>
          </w:p>
        </w:tc>
        <w:tc>
          <w:tcPr>
            <w:tcW w:w="2000" w:type="dxa"/>
          </w:tcPr>
          <w:p>
            <w:pPr>
              <w:pStyle w:val="TableCell"/>
            </w:pPr>
            <w:r>
              <w:t xml:space="preserve">Most separable; handling first prevents absorption into strong_action or mild.</w:t>
            </w:r>
          </w:p>
        </w:tc>
      </w:tr>
      <w:tr>
        <w:tc>
          <w:tcPr>
            <w:tcW w:w="2000" w:type="dxa"/>
          </w:tcPr>
          <w:p>
            <w:pPr>
              <w:pStyle w:val="TableCell"/>
            </w:pPr>
            <w:r>
              <w:t xml:space="preserve">Route 2 — Strong-action escalation</w:t>
            </w:r>
          </w:p>
        </w:tc>
        <w:tc>
          <w:tcPr>
            <w:tcW w:w="2000" w:type="dxa"/>
          </w:tcPr>
          <w:p>
            <w:pPr>
              <w:pStyle w:val="TableCell"/>
            </w:pPr>
            <w:r>
              <w:t xml:space="preserve">2nd</w:t>
            </w:r>
          </w:p>
        </w:tc>
        <w:tc>
          <w:tcPr>
            <w:tcW w:w="2000" w:type="dxa"/>
          </w:tcPr>
          <w:p>
            <w:pPr>
              <w:pStyle w:val="TableCell"/>
            </w:pPr>
            <w:r>
              <w:t xml:space="preserve">if `p_strong &gt;= t_strong` AND `p_contra &lt; t_low` → `strong_action_overclaim`</w:t>
            </w:r>
          </w:p>
        </w:tc>
        <w:tc>
          <w:tcPr>
            <w:tcW w:w="2000" w:type="dxa"/>
          </w:tcPr>
          <w:p>
            <w:pPr>
              <w:pStyle w:val="TableCell"/>
            </w:pPr>
            <w:r>
              <w:t xml:space="preserve">`t_strong = 0.535`, `t_low` = lower guard</w:t>
            </w:r>
          </w:p>
        </w:tc>
        <w:tc>
          <w:tcPr>
            <w:tcW w:w="2000" w:type="dxa"/>
          </w:tcPr>
          <w:p>
            <w:pPr>
              <w:pStyle w:val="TableCell"/>
            </w:pPr>
            <w:r>
              <w:t xml:space="preserve">Most consequential; action-gap + NLI features. Conservative guard prevents contradiction absorption.</w:t>
            </w:r>
          </w:p>
        </w:tc>
      </w:tr>
      <w:tr>
        <w:tc>
          <w:tcPr>
            <w:tcW w:w="2000" w:type="dxa"/>
          </w:tcPr>
          <w:p>
            <w:pPr>
              <w:pStyle w:val="TableCell"/>
            </w:pPr>
            <w:r>
              <w:t xml:space="preserve">Route 3 — Scope residual</w:t>
            </w:r>
          </w:p>
        </w:tc>
        <w:tc>
          <w:tcPr>
            <w:tcW w:w="2000" w:type="dxa"/>
          </w:tcPr>
          <w:p>
            <w:pPr>
              <w:pStyle w:val="TableCell"/>
            </w:pPr>
            <w:r>
              <w:t xml:space="preserve">3rd</w:t>
            </w:r>
          </w:p>
        </w:tc>
        <w:tc>
          <w:tcPr>
            <w:tcW w:w="2000" w:type="dxa"/>
          </w:tcPr>
          <w:p>
            <w:pPr>
              <w:pStyle w:val="TableCell"/>
            </w:pPr>
            <w:r>
              <w:t xml:space="preserve">if `p_svm &gt;= t_svm` → `supported`; else → `mild_scope_overclaim`</w:t>
            </w:r>
          </w:p>
        </w:tc>
        <w:tc>
          <w:tcPr>
            <w:tcW w:w="2000" w:type="dxa"/>
          </w:tcPr>
          <w:p>
            <w:pPr>
              <w:pStyle w:val="TableCell"/>
            </w:pPr>
            <w:r>
              <w:t xml:space="preserve">`t_svm = 0.51`</w:t>
            </w:r>
          </w:p>
        </w:tc>
        <w:tc>
          <w:tcPr>
            <w:tcW w:w="2000" w:type="dxa"/>
          </w:tcPr>
          <w:p>
            <w:pPr>
              <w:pStyle w:val="TableCell"/>
            </w:pPr>
            <w:r>
              <w:t xml:space="preserve">Least separable boundary (mild-F1 = 0.1266). SVM residual handles it last.</w:t>
            </w:r>
          </w:p>
        </w:tc>
      </w:tr>
    </w:tbl>
    <w:p>
      <w:r>
        <w:rPr>
          <w:b/>
        </w:rPr>
        <w:t xml:space="preserve">Figure 1.</w:t>
      </w:r>
      <w:r>
        <w:t xml:space="preserve"> R4 routing flow. The router applies three routes in order: contradiction first (the most separable relation), then strong-action escalation under a conservative contradiction guard (to prevent contradiction cases from being absorbed into strong_action), then a supported/mild residual classifier. Frozen mean thresholds: `t_contra = 0.48`, `t_strong = 0.535`, `t_svm = 0.51`, `t_low` = lower contradiction guard.</w:t>
      </w:r>
    </w:p>
    <w:p>
      <w:pPr>
        <w:pStyle w:val="Heading3"/>
      </w:pPr>
      <w:r>
        <w:t xml:space="preserve">C. Why This Order — Theoretical Motivation</w:t>
      </w:r>
    </w:p>
    <w:p>
      <w:r>
        <w:rPr>
          <w:b/>
        </w:rPr>
        <w:t xml:space="preserve">Route 1 (Contradiction first).</w:t>
      </w:r>
      <w:r>
        <w:t xml:space="preserve"> Contradiction is the strongest and most separable relation in the pilot data. NLI-style signals capture it well. Handling contradiction first prevents downstream routes from absorbing contradiction cases into strong_action or mild.</w:t>
      </w:r>
    </w:p>
    <w:p>
      <w:r>
        <w:rPr>
          <w:b/>
        </w:rPr>
        <w:t xml:space="preserve">Route 2 (Strong-action escalation under a conservative guard).</w:t>
      </w:r>
      <w:r>
        <w:t xml:space="preserve"> strong_action_overclaim is the most consequential relation but the hardest to detect. The strong-action expert uses action-gap features (the gap between the action implied by the claim and the action supported by the evidence) in addition to NLI signals. The conservative guard (`p_contra &lt; t_low`) prevents contradiction cases from being absorbed into strong_action — critical because strong_action and contradiction can look similar to a strong-action expert.</w:t>
      </w:r>
    </w:p>
    <w:p>
      <w:r>
        <w:rPr>
          <w:b/>
        </w:rPr>
        <w:t xml:space="preserve">Route 3 (Scope-calibration residual).</w:t>
      </w:r>
      <w:r>
        <w:t xml:space="preserve"> Supported vs. mild_scope_overclaim is the residual scope-calibration problem, handled last because it is the least separable boundary (supported-F1 = 0.4424, mild-F1 = 0.1266 — the weakest boundary in the taxonomy). An SVM residual classifier handles this, acknowledging that the supported/mild boundary remains an open problem.</w:t>
      </w:r>
    </w:p>
    <w:p>
      <w:pPr>
        <w:pStyle w:val="Heading3"/>
      </w:pPr>
      <w:r>
        <w:t xml:space="preserve">D. R4 Is Intentionally Conservative</w:t>
      </w:r>
    </w:p>
    <w:p>
      <w:r>
        <w:t xml:space="preserve">R4 is </w:t>
      </w:r>
      <w:r>
        <w:rPr>
          <w:b/>
        </w:rPr>
        <w:t xml:space="preserve">not</w:t>
      </w:r>
      <w:r>
        <w:t xml:space="preserve"> optimized to maximize overall macro-F1, but to reduce under-detection of action/deployment overclaims while preserving contradiction performance. On the controlled silver-stage evaluation, R4 accepts a lower macro-F1 than a flat classifier or LLM judge (R4 macro-F1 = 0.4238 on 444 samples, 0.3280 on matched 100; GPT-5.5 = 0.5523 on matched 100). R4 accepts supported/mild → strong false positives (98 supported → strong, 24 mild → strong) in exchange for higher strong recall (0.4562 vs. baseline 0.2062). R4 is selected against 5 router variants under 5 pre-specified constraints: strong_positive_delta ≥ +0.05, flat4_macro_delta ≥ -0.02, contradiction_positive_delta ≥ -0.03, escalation_macro_delta ≥ -0.03, positive_delta_seed_count ≥ 7. R4 is the only router meeting all 5 constraints simultaneously. This conservative design is the right trade-off for a </w:t>
      </w:r>
      <w:r>
        <w:rPr>
          <w:b/>
        </w:rPr>
        <w:t xml:space="preserve">screening-oriented complement</w:t>
      </w:r>
      <w:r>
        <w:t xml:space="preserve"> to LLM judges: R4 flags potential action overclaims that LLM judges miss, accepting false positives that a human reviewer (or an LLM judge on a second pass) can filter. A cost-sensitive variant (cw4.0) gives a small additional improvement (+0.0254 strong-F1) but does not meet the replacement threshold (+0.03) and is retained only as an auxiliary sensitivity analysis.</w:t>
      </w:r>
    </w:p>
    <w:p>
      <w:pPr>
        <w:pStyle w:val="Heading2"/>
      </w:pPr>
      <w:r>
        <w:t xml:space="preserve">V. Data and Experimental Protocol</w:t>
      </w:r>
    </w:p>
    <w:p>
      <w:pPr>
        <w:pStyle w:val="Heading3"/>
      </w:pPr>
      <w:r>
        <w:t xml:space="preserve">A. SimClaim Controlled Silver-Stage Diagnostic Set</w:t>
      </w:r>
    </w:p>
    <w:p>
      <w:r>
        <w:t xml:space="preserve">The current study uses a paper-only strict silver set containing 444 claim-evidence pairs, 111 evidence groups, six domains (policy_simulation, marl, digital_twin, robotics, autonomous_driving, cyber_defense), and balanced four-way silver labels (111 per class). These labels are AI-preannotated and author-screened; they are pending independent gold adjudication (§VII). All experiments use group-aware splits so that claims derived from the same evidence group do not cross train/dev/test boundaries. Router thresholds and hyperparameters are selected on train/dev only. The reported R4 result is frozen in `D:\ocn\experiments\mixed_framework_v2_frozen_r4_baseline` and is the current main baseline for this manuscript version.</w:t>
      </w:r>
    </w:p>
    <w:p>
      <w:pPr>
        <w:pStyle w:val="Heading3"/>
      </w:pPr>
      <w:r>
        <w:t xml:space="preserve">B. LLM Judge Comparison Protocol</w:t>
      </w:r>
    </w:p>
    <w:p>
      <w:r>
        <w:t xml:space="preserve">For the LLM judge comparison, we use two matched-sample subsets:</w:t>
      </w:r>
    </w:p>
    <w:p>
      <w:pPr>
        <w:pStyle w:val="ListBullet"/>
      </w:pPr>
      <w:r>
        <w:rPr>
          <w:b/>
        </w:rPr>
        <w:t xml:space="preserve">DeepSeek-V3 baseline (200 samples)</w:t>
      </w:r>
      <w:r>
        <w:t xml:space="preserve">: a label-balanced 200-sample subset (50 per class). DeepSeek-V3 is queried via the OpenAI-compatible DeepSeek API (model: `deepseek-chat`), temperature 0, single run. Output is parsed into the same four-class label space. Results are labeled "small-sample controlled evaluation, N ≤ 200" and are never merged with SimClaim main results.</w:t>
      </w:r>
    </w:p>
    <w:p>
      <w:pPr>
        <w:pStyle w:val="ListBullet"/>
      </w:pPr>
      <w:r>
        <w:rPr>
          <w:b/>
        </w:rPr>
        <w:t xml:space="preserve">GPT-5.5 standard vs. structured (100 samples)</w:t>
      </w:r>
      <w:r>
        <w:t xml:space="preserve">: a label-balanced 100-sample subset (25 per class), selected to overlap with the DeepSeek 200-sample set and to cover all six domains. GPT-5.5 is queried via a third-party proxy (temperature 0, single run). Two prompt strategies are compared: </w:t>
      </w:r>
      <w:r>
        <w:rPr>
          <w:b/>
        </w:rPr>
        <w:t xml:space="preserve">Standard</w:t>
      </w:r>
      <w:r>
        <w:t xml:space="preserve"> (a direct judge prompt asking for a four-class label) and </w:t>
      </w:r>
      <w:r>
        <w:rPr>
          <w:b/>
        </w:rPr>
        <w:t xml:space="preserve">Structured</w:t>
      </w:r>
      <w:r>
        <w:t xml:space="preserve"> (a 5-step evidence-sufficiency decomposition prompt that explicitly asks the model to check factual alignment, scope expansion, action/deployment claims, evidence sufficiency, and a final label).</w:t>
      </w:r>
    </w:p>
    <w:p>
      <w:r>
        <w:t xml:space="preserve">R4 predictions on the same 100/200 samples are computed for matched-sample comparison. The LLM comparison is </w:t>
      </w:r>
      <w:r>
        <w:rPr>
          <w:b/>
        </w:rPr>
        <w:t xml:space="preserve">single-run, temperature 0, no variance estimate</w:t>
      </w:r>
      <w:r>
        <w:t xml:space="preserve"> — an explicit limitation (§IX).</w:t>
      </w:r>
    </w:p>
    <w:p>
      <w:pPr>
        <w:pStyle w:val="Heading3"/>
      </w:pPr>
      <w:r>
        <w:t xml:space="preserve">C. External Public Dataset Transferability Probe</w:t>
      </w:r>
    </w:p>
    <w:p>
      <w:r>
        <w:t xml:space="preserve">To probe whether the evidence-relation approach transfers to public claim-verification data, we run a small gold-derived subset evaluation on </w:t>
      </w:r>
      <w:r>
        <w:rPr>
          <w:b/>
        </w:rPr>
        <w:t xml:space="preserve">SciFact</w:t>
      </w:r>
      <w:r>
        <w:t xml:space="preserve"> [3] and </w:t>
      </w:r>
      <w:r>
        <w:rPr>
          <w:b/>
        </w:rPr>
        <w:t xml:space="preserve">VitaminC</w:t>
      </w:r>
      <w:r>
        <w:t xml:space="preserve"> (dev/test). This is an </w:t>
      </w:r>
      <w:r>
        <w:rPr>
          <w:b/>
        </w:rPr>
        <w:t xml:space="preserve">external transferability probe and sanity check</w:t>
      </w:r>
      <w:r>
        <w:t xml:space="preserve">, not a validation of the four-class evidence-sufficiency taxonomy. Public gold labels are preserved as original (SUPPORT / CONTRADICT-REFUTES / NEI), with a conservative derived mapping (SUPPORT → supported, CONTRADICT/REFUTES → contradiction_candidate, NEI → unsupported_or_insufficient). </w:t>
      </w:r>
      <w:r>
        <w:rPr>
          <w:b/>
        </w:rPr>
        <w:t xml:space="preserve">No mapping to strong/mild labels is performed</w:t>
      </w:r>
      <w:r>
        <w:t xml:space="preserve">, because public datasets do not contain the action-overclaim taxonomy. We evaluate four methods: TF-IDF claim+evidence, TF-IDF claim-only (leakage probe), NLI cross-encoder (`cross-encoder/nli-deberta-base`), and an R4-compatible heuristic. Five seeds are used, with ≤300 eval samples per dataset. </w:t>
      </w:r>
      <w:r>
        <w:rPr>
          <w:b/>
        </w:rPr>
        <w:t xml:space="preserve">This probe can only test generic support/refutation transfer; it cannot validate the SimClaim evidence-sufficiency taxonomy, which requires action-overclaim labels that public datasets do not contain.</w:t>
      </w:r>
    </w:p>
    <w:p>
      <w:pPr>
        <w:pStyle w:val="Heading3"/>
      </w:pPr>
      <w:r>
        <w:t xml:space="preserve">D. Author Sanity Audit of Silver Labels</w:t>
      </w:r>
    </w:p>
    <w:p>
      <w:r>
        <w:t xml:space="preserve">To check whether the silver labels are prima facie plausible, we conducted a small author sanity audit of 40 silver labels. </w:t>
      </w:r>
      <w:r>
        <w:rPr>
          <w:b/>
        </w:rPr>
        <w:t xml:space="preserve">This audit is not a substitute for independent human adjudication.</w:t>
      </w:r>
      <w:r>
        <w:t xml:space="preserve"> It is a qualitative sanity check by the authors to flag labels that may be questionable or unclear before independent gold validation.</w:t>
      </w:r>
    </w:p>
    <w:p>
      <w:r>
        <w:rPr>
          <w:b/>
        </w:rPr>
        <w:t xml:space="preserve">Audit protocol:</w:t>
      </w:r>
      <w:r>
        <w:t xml:space="preserve"> We sampled 40 cases from the 444-row silver set, oversampling strong_action_overclaim (20 cases) since it is the central class, plus 7 supported, 7 mild_scope_overclaim, and 6 contradiction_candidate. For each case, the authors assigned `author_sanity_decision` (reasonable / questionable / unclear) and `possible_confusion` (none / supported_vs_mild / mild_vs_strong / strong_vs_contradiction).</w:t>
      </w:r>
    </w:p>
    <w:p>
      <w:r>
        <w:rPr>
          <w:b/>
        </w:rPr>
        <w:t xml:space="preserve">Audit results:</w:t>
      </w:r>
      <w:r>
        <w:t xml:space="preserve"> 15 reasonable, 5 questionable, 20 unclear (25/40 = 62.5% flagged). strong_action_overclaim has the highest confusion rate (15/20 = 75%), mostly mild_vs_strong confusion. All 6 contradiction_candidate cases are flagged unclear, mostly strong_vs_contradiction confusion (detail-swapping missed by the audit heuristic). supported is the most stable class (7/7 reasonable).</w:t>
      </w:r>
    </w:p>
    <w:p>
      <w:r>
        <w:rPr>
          <w:b/>
        </w:rPr>
        <w:t xml:space="preserve">Root cause distribution of the 25 questionable/unclear cases:</w:t>
      </w:r>
    </w:p>
    <w:p>
      <w:pPr>
        <w:pStyle w:val="ListBullet"/>
      </w:pPr>
      <w:r>
        <w:t xml:space="preserve">mild_vs_strong_boundary_unclear: 12 cases (48%) — the core taxonomy challenge.</w:t>
      </w:r>
    </w:p>
    <w:p>
      <w:pPr>
        <w:pStyle w:val="ListBullet"/>
      </w:pPr>
      <w:r>
        <w:t xml:space="preserve">strong_vs_contradiction_boundary_unclear: 6 cases (24%) — the audit heuristic missed detail-swapping; the decision tree (Figure 2, Step 1) now operationalizes detail-swapping as contradiction.</w:t>
      </w:r>
    </w:p>
    <w:p>
      <w:pPr>
        <w:pStyle w:val="ListBullet"/>
      </w:pPr>
      <w:r>
        <w:t xml:space="preserve">claim_too_abstract: 5 cases (20%) — a claim generation issue, not a taxonomy issue.</w:t>
      </w:r>
    </w:p>
    <w:p>
      <w:pPr>
        <w:pStyle w:val="ListBullet"/>
      </w:pPr>
      <w:r>
        <w:t xml:space="preserve">audit_heuristic_too_conservative: 2 cases (8%) — the audit was too strict, not the labels too weak.</w:t>
      </w:r>
    </w:p>
    <w:p>
      <w:r>
        <w:rPr>
          <w:b/>
        </w:rPr>
        <w:t xml:space="preserve">Interpretation:</w:t>
      </w:r>
      <w:r>
        <w:t xml:space="preserve"> This audit confirms that the silver labels are validation-pending. The 25 questionable/unclear cases are concentrated at the two hardest taxonomy boundaries (mild-vs-strong and strong-vs-contradiction), which is expected for an evidence-sufficiency task. The LLM under-detection finding (§VI.B) is computed against these silver labels, and the high questionable/unclear rate means the finding is </w:t>
      </w:r>
      <w:r>
        <w:rPr>
          <w:b/>
        </w:rPr>
        <w:t xml:space="preserve">controlled silver-stage evidence, pending independent gold adjudication</w:t>
      </w:r>
      <w:r>
        <w:t xml:space="preserve"> — not yet an established property of LLM judges. The audit does not invalidate the framework (the relative pattern — R4 &gt; LLM on strong_action — may hold under gold), but it bounds the strength of the claim. The 25 questionable/unclear cases are retained in `high_risk_sample_bank.csv` as boundary cases for gold adjudication priority; `trusted_case_bank.csv` (18 cases, ≥4 per class) provides clear illustrative cases for paper examples — none of which are claimed as gold. The full audit is in `author_sanity_audit_40.csv`.</w:t>
      </w:r>
    </w:p>
    <w:p>
      <w:pPr>
        <w:pStyle w:val="Heading3"/>
      </w:pPr>
      <w:r>
        <w:t xml:space="preserve">E. Framing</w:t>
      </w:r>
    </w:p>
    <w:p>
      <w:r>
        <w:t xml:space="preserve">Because the dataset is small, silver-labeled, and the author sanity audit flags substantial label uncertainty, all results are framed as </w:t>
      </w:r>
      <w:r>
        <w:rPr>
          <w:b/>
        </w:rPr>
        <w:t xml:space="preserve">controlled silver-stage evidence</w:t>
      </w:r>
      <w:r>
        <w:t xml:space="preserve">. A higher-tier confirmatory submission would require 300–500 independently adjudicated claim-evidence pairs, inter-annotator agreement statistics, significance tests against stronger external baselines, and external validation. The pre-registered gold adjudication (§VII) is the protocol-locked next step toward that target.</w:t>
      </w:r>
    </w:p>
    <w:p>
      <w:pPr>
        <w:pStyle w:val="Heading2"/>
      </w:pPr>
      <w:r>
        <w:t xml:space="preserve">VI. Results</w:t>
      </w:r>
    </w:p>
    <w:p>
      <w:pPr>
        <w:pStyle w:val="TableCell"/>
      </w:pPr>
      <w:r>
        <w:rPr>
          <w:b/>
        </w:rPr>
        <w:t xml:space="preserve">All numerical results in this section are computed on the controlled silver-stage evaluation against AI-preannotated, author-screened silver labels. The pre-registered gold adjudication in §VII is the protocol-locked mechanism that determines whether these patterns are treated as validated: if gold supports the silver labels, these patterns become validated pilot findings; if not, the affected claims are downgraded according to the pre-registered criteria in §VII.G.</w:t>
      </w:r>
      <w:r>
        <w:t xml:space="preserve"> These are validation-pending findings; they are not gold benchmark numbers. The protocol-locked validation in §VII specifies how these numbers will be re-evaluated once gold labels are available.</w:t>
      </w:r>
    </w:p>
    <w:p>
      <w:pPr>
        <w:pStyle w:val="Heading3"/>
      </w:pPr>
      <w:r>
        <w:t xml:space="preserve">A. Internal Silver Diagnostic Results (Table 1)</w:t>
      </w:r>
    </w:p>
    <w:p>
      <w:r>
        <w:t xml:space="preserve">The strongest controlled silver-stage result is that </w:t>
      </w:r>
      <w:r>
        <w:rPr>
          <w:b/>
        </w:rPr>
        <w:t xml:space="preserve">on the controlled silver-stage evaluation</w:t>
      </w:r>
      <w:r>
        <w:t xml:space="preserve">, R4 improves strong-action positive-F1 while preserving contradiction and escalation. Table 1 reports the main comparison among the flat baseline, frozen R4 router, and the auxiliary cost-sensitive variant. Per-class F1 and the router-selection table (R4 vs. R1/R2/R3/R5) are in `V3_1_result_tables.csv`; the bootstrap confidence interval for the strong-positive delta is [0.1058, 0.1988], positive in 10/10 random seeds.</w:t>
      </w:r>
    </w:p>
    <w:p>
      <w:r>
        <w:rPr>
          <w:b/>
        </w:rPr>
        <w:t xml:space="preserve">Table 1. Internal R4 targeted result (controlled silver-stage evaluation, 444 claims, 10 seeds).</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c>
          <w:tcPr>
            <w:tcW w:w="2000" w:type="dxa"/>
          </w:tcPr>
          <w:p>
            <w:pPr>
              <w:pStyle w:val="TableCell"/>
            </w:pPr>
            <w:r>
              <w:rPr>
                <w:b/>
              </w:rPr>
              <w:t xml:space="preserve">Flat4 F1</w:t>
            </w:r>
          </w:p>
        </w:tc>
        <w:tc>
          <w:tcPr>
            <w:tcW w:w="2000" w:type="dxa"/>
          </w:tcPr>
          <w:p>
            <w:pPr>
              <w:pStyle w:val="TableCell"/>
            </w:pPr>
            <w:r>
              <w:rPr>
                <w:b/>
              </w:rPr>
              <w:t xml:space="preserve">Use</w:t>
            </w:r>
          </w:p>
        </w:tc>
      </w:tr>
      <w:tr>
        <w:tc>
          <w:tcPr>
            <w:tcW w:w="2000" w:type="dxa"/>
          </w:tcPr>
          <w:p>
            <w:pPr>
              <w:pStyle w:val="TableCell"/>
            </w:pPr>
            <w:r>
              <w:t xml:space="preserve">baseline_flat4</w:t>
            </w:r>
          </w:p>
        </w:tc>
        <w:tc>
          <w:tcPr>
            <w:tcW w:w="2000" w:type="dxa"/>
          </w:tcPr>
          <w:p>
            <w:pPr>
              <w:pStyle w:val="TableCell"/>
            </w:pPr>
            <w:r>
              <w:t xml:space="preserve">0.2408</w:t>
            </w:r>
          </w:p>
        </w:tc>
        <w:tc>
          <w:tcPr>
            <w:tcW w:w="2000" w:type="dxa"/>
          </w:tcPr>
          <w:p>
            <w:pPr>
              <w:pStyle w:val="TableCell"/>
            </w:pPr>
            <w:r>
              <w:t xml:space="preserve">0.2062</w:t>
            </w:r>
          </w:p>
        </w:tc>
        <w:tc>
          <w:tcPr>
            <w:tcW w:w="2000" w:type="dxa"/>
          </w:tcPr>
          <w:p>
            <w:pPr>
              <w:pStyle w:val="TableCell"/>
            </w:pPr>
            <w:r>
              <w:t xml:space="preserve">0.7308</w:t>
            </w:r>
          </w:p>
        </w:tc>
        <w:tc>
          <w:tcPr>
            <w:tcW w:w="2000" w:type="dxa"/>
          </w:tcPr>
          <w:p>
            <w:pPr>
              <w:pStyle w:val="TableCell"/>
            </w:pPr>
            <w:r>
              <w:t xml:space="preserve">0.3963</w:t>
            </w:r>
          </w:p>
        </w:tc>
        <w:tc>
          <w:tcPr>
            <w:tcW w:w="2000" w:type="dxa"/>
          </w:tcPr>
          <w:p>
            <w:pPr>
              <w:pStyle w:val="TableCell"/>
            </w:pPr>
            <w:r>
              <w:t xml:space="preserve">baseline</w:t>
            </w:r>
          </w:p>
        </w:tc>
      </w:tr>
      <w:tr>
        <w:tc>
          <w:tcPr>
            <w:tcW w:w="2000" w:type="dxa"/>
          </w:tcPr>
          <w:p>
            <w:pPr>
              <w:pStyle w:val="TableCell"/>
            </w:pPr>
            <w:r>
              <w:rPr>
                <w:b/>
              </w:rPr>
              <w:t xml:space="preserve">R4_conservative_strong_router (MAIN)</w:t>
            </w:r>
          </w:p>
        </w:tc>
        <w:tc>
          <w:tcPr>
            <w:tcW w:w="2000" w:type="dxa"/>
          </w:tcPr>
          <w:p>
            <w:pPr>
              <w:pStyle w:val="TableCell"/>
            </w:pPr>
            <w:r>
              <w:rPr>
                <w:b/>
              </w:rPr>
              <w:t xml:space="preserve">0.3967</w:t>
            </w:r>
          </w:p>
        </w:tc>
        <w:tc>
          <w:tcPr>
            <w:tcW w:w="2000" w:type="dxa"/>
          </w:tcPr>
          <w:p>
            <w:pPr>
              <w:pStyle w:val="TableCell"/>
            </w:pPr>
            <w:r>
              <w:rPr>
                <w:b/>
              </w:rPr>
              <w:t xml:space="preserve">0.4562</w:t>
            </w:r>
          </w:p>
        </w:tc>
        <w:tc>
          <w:tcPr>
            <w:tcW w:w="2000" w:type="dxa"/>
          </w:tcPr>
          <w:p>
            <w:pPr>
              <w:pStyle w:val="TableCell"/>
            </w:pPr>
            <w:r>
              <w:rPr>
                <w:b/>
              </w:rPr>
              <w:t xml:space="preserve">0.7296</w:t>
            </w:r>
          </w:p>
        </w:tc>
        <w:tc>
          <w:tcPr>
            <w:tcW w:w="2000" w:type="dxa"/>
          </w:tcPr>
          <w:p>
            <w:pPr>
              <w:pStyle w:val="TableCell"/>
            </w:pPr>
            <w:r>
              <w:rPr>
                <w:b/>
              </w:rPr>
              <w:t xml:space="preserve">0.4238</w:t>
            </w:r>
          </w:p>
        </w:tc>
        <w:tc>
          <w:tcPr>
            <w:tcW w:w="2000" w:type="dxa"/>
          </w:tcPr>
          <w:p>
            <w:pPr>
              <w:pStyle w:val="TableCell"/>
            </w:pPr>
            <w:r>
              <w:rPr>
                <w:b/>
              </w:rPr>
              <w:t xml:space="preserve">main_method</w:t>
            </w:r>
          </w:p>
        </w:tc>
      </w:tr>
      <w:tr>
        <w:tc>
          <w:tcPr>
            <w:tcW w:w="2000" w:type="dxa"/>
          </w:tcPr>
          <w:p>
            <w:pPr>
              <w:pStyle w:val="TableCell"/>
            </w:pPr>
            <w:r>
              <w:t xml:space="preserve">B_cost_sensitive_cw4.0 (AUX)</w:t>
            </w:r>
          </w:p>
        </w:tc>
        <w:tc>
          <w:tcPr>
            <w:tcW w:w="2000" w:type="dxa"/>
          </w:tcPr>
          <w:p>
            <w:pPr>
              <w:pStyle w:val="TableCell"/>
            </w:pPr>
            <w:r>
              <w:t xml:space="preserve">0.4221</w:t>
            </w:r>
          </w:p>
        </w:tc>
        <w:tc>
          <w:tcPr>
            <w:tcW w:w="2000" w:type="dxa"/>
          </w:tcPr>
          <w:p>
            <w:pPr>
              <w:pStyle w:val="TableCell"/>
            </w:pPr>
            <w:r>
              <w:t xml:space="preserve">0.4625</w:t>
            </w:r>
          </w:p>
        </w:tc>
        <w:tc>
          <w:tcPr>
            <w:tcW w:w="2000" w:type="dxa"/>
          </w:tcPr>
          <w:p>
            <w:pPr>
              <w:pStyle w:val="TableCell"/>
            </w:pPr>
            <w:r>
              <w:t xml:space="preserve">0.7296</w:t>
            </w:r>
          </w:p>
        </w:tc>
        <w:tc>
          <w:tcPr>
            <w:tcW w:w="2000" w:type="dxa"/>
          </w:tcPr>
          <w:p>
            <w:pPr>
              <w:pStyle w:val="TableCell"/>
            </w:pPr>
            <w:r>
              <w:t xml:space="preserve">0.4365</w:t>
            </w:r>
          </w:p>
        </w:tc>
        <w:tc>
          <w:tcPr>
            <w:tcW w:w="2000" w:type="dxa"/>
          </w:tcPr>
          <w:p>
            <w:pPr>
              <w:pStyle w:val="TableCell"/>
            </w:pPr>
            <w:r>
              <w:t xml:space="preserve">auxiliary</w:t>
            </w:r>
          </w:p>
        </w:tc>
      </w:tr>
    </w:tbl>
    <w:p>
      <w:pPr>
        <w:pStyle w:val="ListBullet"/>
      </w:pPr>
      <w:r>
        <w:t xml:space="preserve">R4 is the frozen main method (immutable). The cost-sensitive variant is auxiliary (delta vs R4 = +0.0254, below the +0.03 threshold, CI crosses zero).</w:t>
      </w:r>
    </w:p>
    <w:p>
      <w:pPr>
        <w:pStyle w:val="ListBullet"/>
      </w:pPr>
      <w:r>
        <w:t xml:space="preserve">On the controlled silver-stage evaluation, the key improvement is in </w:t>
      </w:r>
      <w:r>
        <w:rPr>
          <w:b/>
        </w:rPr>
        <w:t xml:space="preserve">strong_action_overclaim</w:t>
      </w:r>
      <w:r>
        <w:t xml:space="preserve"> (+0.1559 strong-F1 over baseline), with contradiction preserved (-0.0012, well within the -0.03 constraint).</w:t>
      </w:r>
    </w:p>
    <w:p>
      <w:pPr>
        <w:pStyle w:val="ListBullet"/>
      </w:pPr>
      <w:r>
        <w:t xml:space="preserve">R4 over-routes supported → strong (98 false positives) and mild → strong (24 false positives) — a trade-off for improved strong recall. This is a known trade-off: R4 improves strong recall at the cost of supported/mild → strong false positives.</w:t>
      </w:r>
    </w:p>
    <w:p>
      <w:pPr>
        <w:pStyle w:val="Heading3"/>
      </w:pPr>
      <w:r>
        <w:t xml:space="preserve">B. LLM Judge Comparison (Table 2, Figure 3)</w:t>
      </w:r>
    </w:p>
    <w:p>
      <w:r>
        <w:t xml:space="preserve">This is the central new analysis. We compare R4 against generic LLM judges on matched SimClaim samples. </w:t>
      </w:r>
      <w:r>
        <w:rPr>
          <w:b/>
        </w:rPr>
        <w:t xml:space="preserve">All numbers in this subsection are computed on the controlled silver-stage evaluation.</w:t>
      </w:r>
    </w:p>
    <w:p>
      <w:r>
        <w:rPr>
          <w:b/>
        </w:rPr>
        <w:t xml:space="preserve">Table 2. LLM judge comparison on matched SimClaim samples (Group C).</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N</w:t>
            </w:r>
          </w:p>
        </w:tc>
        <w:tc>
          <w:tcPr>
            <w:tcW w:w="2000" w:type="dxa"/>
          </w:tcPr>
          <w:p>
            <w:pPr>
              <w:pStyle w:val="TableCell"/>
            </w:pPr>
            <w:r>
              <w:rPr>
                <w:b/>
              </w:rPr>
              <w:t xml:space="preserve">Macro-F1</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r>
      <w:tr>
        <w:tc>
          <w:tcPr>
            <w:tcW w:w="2000" w:type="dxa"/>
          </w:tcPr>
          <w:p>
            <w:pPr>
              <w:pStyle w:val="TableCell"/>
            </w:pPr>
            <w:r>
              <w:t xml:space="preserve">GPT-5.5 standard</w:t>
            </w:r>
          </w:p>
        </w:tc>
        <w:tc>
          <w:tcPr>
            <w:tcW w:w="2000" w:type="dxa"/>
          </w:tcPr>
          <w:p>
            <w:pPr>
              <w:pStyle w:val="TableCell"/>
            </w:pPr>
            <w:r>
              <w:t xml:space="preserve">100</w:t>
            </w:r>
          </w:p>
        </w:tc>
        <w:tc>
          <w:tcPr>
            <w:tcW w:w="2000" w:type="dxa"/>
          </w:tcPr>
          <w:p>
            <w:pPr>
              <w:pStyle w:val="TableCell"/>
            </w:pPr>
            <w:r>
              <w:t xml:space="preserve">0.5523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GPT-5.5 structured (5-step)</w:t>
            </w:r>
          </w:p>
        </w:tc>
        <w:tc>
          <w:tcPr>
            <w:tcW w:w="2000" w:type="dxa"/>
          </w:tcPr>
          <w:p>
            <w:pPr>
              <w:pStyle w:val="TableCell"/>
            </w:pPr>
            <w:r>
              <w:t xml:space="preserve">100</w:t>
            </w:r>
          </w:p>
        </w:tc>
        <w:tc>
          <w:tcPr>
            <w:tcW w:w="2000" w:type="dxa"/>
          </w:tcPr>
          <w:p>
            <w:pPr>
              <w:pStyle w:val="TableCell"/>
            </w:pPr>
            <w:r>
              <w:t xml:space="preserve">0.5543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DeepSeek-V3 (matched 100)</w:t>
            </w:r>
          </w:p>
        </w:tc>
        <w:tc>
          <w:tcPr>
            <w:tcW w:w="2000" w:type="dxa"/>
          </w:tcPr>
          <w:p>
            <w:pPr>
              <w:pStyle w:val="TableCell"/>
            </w:pPr>
            <w:r>
              <w:t xml:space="preserve">100</w:t>
            </w:r>
          </w:p>
        </w:tc>
        <w:tc>
          <w:tcPr>
            <w:tcW w:w="2000" w:type="dxa"/>
          </w:tcPr>
          <w:p>
            <w:pPr>
              <w:pStyle w:val="TableCell"/>
            </w:pPr>
            <w:r>
              <w:t xml:space="preserve">0.5248</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DeepSeek-V3 (full 200)</w:t>
            </w:r>
          </w:p>
        </w:tc>
        <w:tc>
          <w:tcPr>
            <w:tcW w:w="2000" w:type="dxa"/>
          </w:tcPr>
          <w:p>
            <w:pPr>
              <w:pStyle w:val="TableCell"/>
            </w:pPr>
            <w:r>
              <w:t xml:space="preserve">200</w:t>
            </w:r>
          </w:p>
        </w:tc>
        <w:tc>
          <w:tcPr>
            <w:tcW w:w="2000" w:type="dxa"/>
          </w:tcPr>
          <w:p>
            <w:pPr>
              <w:pStyle w:val="TableCell"/>
            </w:pPr>
            <w:r>
              <w:t xml:space="preserve">0.5270</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R4 (matched 100)</w:t>
            </w:r>
          </w:p>
        </w:tc>
        <w:tc>
          <w:tcPr>
            <w:tcW w:w="2000" w:type="dxa"/>
          </w:tcPr>
          <w:p>
            <w:pPr>
              <w:pStyle w:val="TableCell"/>
            </w:pPr>
            <w:r>
              <w:t xml:space="preserve">100</w:t>
            </w:r>
          </w:p>
        </w:tc>
        <w:tc>
          <w:tcPr>
            <w:tcW w:w="2000" w:type="dxa"/>
          </w:tcPr>
          <w:p>
            <w:pPr>
              <w:pStyle w:val="TableCell"/>
            </w:pPr>
            <w:r>
              <w:t xml:space="preserve">0.3280</w:t>
            </w:r>
          </w:p>
        </w:tc>
        <w:tc>
          <w:tcPr>
            <w:tcW w:w="2000" w:type="dxa"/>
          </w:tcPr>
          <w:p>
            <w:pPr>
              <w:pStyle w:val="TableCell"/>
            </w:pPr>
            <w:r>
              <w:t xml:space="preserve">0.3000</w:t>
            </w:r>
          </w:p>
        </w:tc>
        <w:tc>
          <w:tcPr>
            <w:tcW w:w="2000" w:type="dxa"/>
          </w:tcPr>
          <w:p>
            <w:pPr>
              <w:pStyle w:val="TableCell"/>
            </w:pPr>
            <w:r>
              <w:t xml:space="preserve">—</w:t>
            </w:r>
          </w:p>
        </w:tc>
        <w:tc>
          <w:tcPr>
            <w:tcW w:w="2000" w:type="dxa"/>
          </w:tcPr>
          <w:p>
            <w:pPr>
              <w:pStyle w:val="TableCell"/>
            </w:pPr>
            <w:r>
              <w:t xml:space="preserve">—</w:t>
            </w:r>
          </w:p>
        </w:tc>
      </w:tr>
      <w:tr>
        <w:tc>
          <w:tcPr>
            <w:tcW w:w="2000" w:type="dxa"/>
          </w:tcPr>
          <w:p>
            <w:pPr>
              <w:pStyle w:val="TableCell"/>
            </w:pPr>
            <w:r>
              <w:t xml:space="preserve">R4 (full 200)</w:t>
            </w:r>
          </w:p>
        </w:tc>
        <w:tc>
          <w:tcPr>
            <w:tcW w:w="2000" w:type="dxa"/>
          </w:tcPr>
          <w:p>
            <w:pPr>
              <w:pStyle w:val="TableCell"/>
            </w:pPr>
            <w:r>
              <w:t xml:space="preserve">200</w:t>
            </w:r>
          </w:p>
        </w:tc>
        <w:tc>
          <w:tcPr>
            <w:tcW w:w="2000" w:type="dxa"/>
          </w:tcPr>
          <w:p>
            <w:pPr>
              <w:pStyle w:val="TableCell"/>
            </w:pPr>
            <w:r>
              <w:t xml:space="preserve">—</w:t>
            </w:r>
          </w:p>
        </w:tc>
        <w:tc>
          <w:tcPr>
            <w:tcW w:w="2000" w:type="dxa"/>
          </w:tcPr>
          <w:p>
            <w:pPr>
              <w:pStyle w:val="TableCell"/>
            </w:pPr>
            <w:r>
              <w:t xml:space="preserve">0.3158</w:t>
            </w:r>
          </w:p>
        </w:tc>
        <w:tc>
          <w:tcPr>
            <w:tcW w:w="2000" w:type="dxa"/>
          </w:tcPr>
          <w:p>
            <w:pPr>
              <w:pStyle w:val="TableCell"/>
            </w:pPr>
            <w:r>
              <w:t xml:space="preserve">—</w:t>
            </w:r>
          </w:p>
        </w:tc>
        <w:tc>
          <w:tcPr>
            <w:tcW w:w="2000" w:type="dxa"/>
          </w:tcPr>
          <w:p>
            <w:pPr>
              <w:pStyle w:val="TableCell"/>
            </w:pPr>
            <w:r>
              <w:t xml:space="preserve">—</w:t>
            </w:r>
          </w:p>
        </w:tc>
      </w:tr>
    </w:tbl>
    <w:p>
      <w:r>
        <w:rPr>
          <w:b/>
        </w:rPr>
        <w:t xml:space="preserve">Overall Macro-F1 (higher is better):</w:t>
      </w:r>
    </w:p>
    <w:p>
      <w:pPr>
        <w:pStyle w:val="TableCell"/>
      </w:pPr>
      <w:r>
        <w:rPr>
          <w:rFonts w:ascii="Consolas" w:hAnsi="Consolas"/>
        </w:rPr>
        <w:t xml:space="preserve">GPT-5.5 structured  | ████████████████████████████████████████████████  0.5543</w:t>
      </w:r>
    </w:p>
    <w:p>
      <w:pPr>
        <w:pStyle w:val="TableCell"/>
      </w:pPr>
      <w:r>
        <w:rPr>
          <w:rFonts w:ascii="Consolas" w:hAnsi="Consolas"/>
        </w:rPr>
        <w:t xml:space="preserve">GPT-5.5 standard    | ████████████████████████████████████████████████  0.5523</w:t>
      </w:r>
    </w:p>
    <w:p>
      <w:pPr>
        <w:pStyle w:val="TableCell"/>
      </w:pPr>
      <w:r>
        <w:rPr>
          <w:rFonts w:ascii="Consolas" w:hAnsi="Consolas"/>
        </w:rPr>
        <w:t xml:space="preserve">DeepSeek-V3 (200)   | ██████████████████████████████████████████████   0.5270</w:t>
      </w:r>
    </w:p>
    <w:p>
      <w:pPr>
        <w:pStyle w:val="TableCell"/>
      </w:pPr>
      <w:r>
        <w:rPr>
          <w:rFonts w:ascii="Consolas" w:hAnsi="Consolas"/>
        </w:rPr>
        <w:t xml:space="preserve">DeepSeek-V3 (100)   | ██████████████████████████████████████████████   0.5248</w:t>
      </w:r>
    </w:p>
    <w:p>
      <w:pPr>
        <w:pStyle w:val="TableCell"/>
      </w:pPr>
      <w:r>
        <w:rPr>
          <w:rFonts w:ascii="Consolas" w:hAnsi="Consolas"/>
        </w:rPr>
        <w:t xml:space="preserve">R4 (matched 100)    | ██████████████████████████████                   0.3280</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Strong-Action F1 (higher is better):</w:t>
      </w:r>
    </w:p>
    <w:p>
      <w:pPr>
        <w:pStyle w:val="TableCell"/>
      </w:pPr>
      <w:r>
        <w:rPr>
          <w:rFonts w:ascii="Consolas" w:hAnsi="Consolas"/>
        </w:rPr>
        <w:t xml:space="preserve">R4 (matched 200)    | ████████████████████████████                     0.3158</w:t>
      </w:r>
    </w:p>
    <w:p>
      <w:pPr>
        <w:pStyle w:val="TableCell"/>
      </w:pPr>
      <w:r>
        <w:rPr>
          <w:rFonts w:ascii="Consolas" w:hAnsi="Consolas"/>
        </w:rPr>
        <w:t xml:space="preserve">R4 (matched 100)    | ███████████████████████████                      0.3000</w:t>
      </w:r>
    </w:p>
    <w:p>
      <w:pPr>
        <w:pStyle w:val="TableCell"/>
      </w:pPr>
      <w:r>
        <w:rPr>
          <w:rFonts w:ascii="Consolas" w:hAnsi="Consolas"/>
        </w:rPr>
        <w:t xml:space="preserve">GPT-5.5 structured  | █                                                 0.0769</w:t>
      </w:r>
    </w:p>
    <w:p>
      <w:pPr>
        <w:pStyle w:val="TableCell"/>
      </w:pPr>
      <w:r>
        <w:rPr>
          <w:rFonts w:ascii="Consolas" w:hAnsi="Consolas"/>
        </w:rPr>
        <w:t xml:space="preserve">GPT-5.5 standard    | █                                                 0.0769</w:t>
      </w:r>
    </w:p>
    <w:p>
      <w:pPr>
        <w:pStyle w:val="TableCell"/>
      </w:pPr>
      <w:r>
        <w:rPr>
          <w:rFonts w:ascii="Consolas" w:hAnsi="Consolas"/>
        </w:rPr>
        <w:t xml:space="preserve">DeepSeek-V3 (200)   | █                                                 0.0769</w:t>
      </w:r>
    </w:p>
    <w:p>
      <w:pPr>
        <w:pStyle w:val="TableCell"/>
      </w:pPr>
      <w:r>
        <w:rPr>
          <w:rFonts w:ascii="Consolas" w:hAnsi="Consolas"/>
        </w:rPr>
        <w:t xml:space="preserve">DeepSeek-V3 (100)   | █                                                 0.0769</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Figure 3.</w:t>
      </w:r>
      <w:r>
        <w:t xml:space="preserve"> LLM vs. R4 strong_action gap on matched SimClaim samples, computed on the controlled silver-stage evaluation. LLMs (GPT-5.5 standard, GPT-5.5 structured, DeepSeek-V3) all converge on strong_action-F1 = 0.0769 (recall 0.04 = 1/25). R4 reaches strong_F1 = 0.3000 on the matched 100 and 0.3158 on the matched 200. LLMs retain substantially higher overall macro-F1 (0.5248–0.5543 vs. R4 0.3280). Interpretation: </w:t>
      </w:r>
      <w:r>
        <w:rPr>
          <w:b/>
        </w:rPr>
        <w:t xml:space="preserve">on the controlled silver-stage evaluation, LLMs are stronger overall, but R4 targets the strong_action gap observed under the tested prompts.</w:t>
      </w:r>
    </w:p>
    <w:p>
      <w:r>
        <w:rPr>
          <w:b/>
        </w:rPr>
        <w:t xml:space="preserve">Key findings (all computed on the controlled silver-stage evaluation):</w:t>
      </w:r>
    </w:p>
    <w:p>
      <w:pPr>
        <w:pStyle w:val="ListNumber"/>
      </w:pPr>
      <w:r>
        <w:rPr>
          <w:b/>
        </w:rPr>
        <w:t xml:space="preserve">On the controlled silver-stage evaluation, both GPT-5.5 standard and structured achieve strong_action-F1 of 0.0769 (recall 0.04 = 1/25).</w:t>
      </w:r>
      <w:r>
        <w:t xml:space="preserve"> This structured 5-step evidence-sufficiency decomposition prompt design </w:t>
      </w:r>
      <w:r>
        <w:rPr>
          <w:b/>
        </w:rPr>
        <w:t xml:space="preserve">did not improve</w:t>
      </w:r>
      <w:r>
        <w:t xml:space="preserve"> strong_action detection under the tested setting. The structured prompt does not hurt macro-F1 (0.5543 vs. 0.5523) or contradiction-F1 (both 0.6857), but it does not improve strong_action either. GPT only flagged 7/100 samples as containing an action/deployment/safety claim in structured mode, despite 25/100 being strong_action_overclaim by silver label.</w:t>
      </w:r>
    </w:p>
    <w:p>
      <w:pPr>
        <w:pStyle w:val="ListNumber"/>
      </w:pPr>
      <w:r>
        <w:rPr>
          <w:b/>
        </w:rPr>
        <w:t xml:space="preserve">DeepSeek-V3 on 200 samples also achieves strong_action-F1 0.0769</w:t>
      </w:r>
      <w:r>
        <w:t xml:space="preserve"> on the controlled silver-stage evaluation (precision 1.0, recall 0.04 = 1/25), while reaching macro-F1 0.5270 and contradiction-F1 0.8317 — strong overall, missing strong_action.</w:t>
      </w:r>
    </w:p>
    <w:p>
      <w:pPr>
        <w:pStyle w:val="ListNumber"/>
      </w:pPr>
      <w:r>
        <w:rPr>
          <w:b/>
        </w:rPr>
        <w:t xml:space="preserve">On the controlled silver-stage evaluation, R4 provides targeted complementary value.</w:t>
      </w:r>
      <w:r>
        <w:t xml:space="preserve"> On the same 100 samples where GPT and DeepSeek achieve strong_F1 0.0769, R4 achieves strong_F1 = 0.3000 (absolute gap +0.2231). On the 200-sample set, R4 achieves strong_F1 = 0.3158 (absolute gap +0.2389 over DeepSeek). R4 is not stronger overall — LLM judges retain substantially higher macro-F1 (0.5523 vs. 0.3280) and contradiction-F1 — but it targets the specific relation that LLM judges miss under the tested prompts.</w:t>
      </w:r>
    </w:p>
    <w:p>
      <w:pPr>
        <w:pStyle w:val="ListNumber"/>
      </w:pPr>
      <w:r>
        <w:rPr>
          <w:b/>
        </w:rPr>
        <w:t xml:space="preserve">The dominant LLM error modes on strong_action_overclaim</w:t>
      </w:r>
      <w:r>
        <w:t xml:space="preserve"> (on the controlled silver-stage evaluation) are over-contradiction (mapping strong_action to contradiction_candidate — the LLM treats the action over-extension as a factual mismatch), over-milding (mapping strong_action to mild_scope_overclaim — the LLM recognizes scope expansion but misses the action escalation), and over-supporting (mapping strong_action to supported — the LLM treats the relevant-but-insufficient evidence as full support). R4's error mode is different: it tends to over-route supported → strong, producing false positives rather than false negatives on strong_action. This is a complementary error profile.</w:t>
      </w:r>
    </w:p>
    <w:p>
      <w:r>
        <w:rPr>
          <w:b/>
        </w:rPr>
        <w:t xml:space="preserve">This result should not be interpreted as R4 outperforms LLM judges overall.</w:t>
      </w:r>
      <w:r>
        <w:t xml:space="preserve"> On the controlled silver-stage evaluation, R4's macro-F1 (0.3280) is substantially lower than GPT-5.5 (0.5523) and DeepSeek-V3 (0.5248) on the same 100 matched samples. R4's value is relation-specific: it targets the strong_action_overclaim relation that LLM judges miss under the tested prompts. We do not claim R4 is better than LLM judges overall — we claim R4 provides targeted screening signal on the high-risk boundary class, at the cost of lower overall macro-F1. </w:t>
      </w:r>
      <w:r>
        <w:rPr>
          <w:b/>
        </w:rPr>
        <w:t xml:space="preserve">Two additional prompt designs (decision-tree, few-shot) are pre-registered for gold-subset evaluation in Table G3; if either closes the strong_action gap, the under-detection claim is downgraded per §VII.G criterion 3.</w:t>
      </w:r>
    </w:p>
    <w:p>
      <w:pPr>
        <w:pStyle w:val="Heading3"/>
      </w:pPr>
      <w:r>
        <w:t xml:space="preserve">C. Boundary Audit Summary (Table 3)</w:t>
      </w:r>
    </w:p>
    <w:p>
      <w:r>
        <w:rPr>
          <w:b/>
        </w:rPr>
        <w:t xml:space="preserve">Table 3. Boundary audit summary (40-case author sanity audit, §V.D).</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Silver label</w:t>
            </w:r>
          </w:p>
        </w:tc>
        <w:tc>
          <w:tcPr>
            <w:tcW w:w="2000" w:type="dxa"/>
          </w:tcPr>
          <w:p>
            <w:pPr>
              <w:pStyle w:val="TableCell"/>
            </w:pPr>
            <w:r>
              <w:rPr>
                <w:b/>
              </w:rPr>
              <w:t xml:space="preserve">Reasonable</w:t>
            </w:r>
          </w:p>
        </w:tc>
        <w:tc>
          <w:tcPr>
            <w:tcW w:w="2000" w:type="dxa"/>
          </w:tcPr>
          <w:p>
            <w:pPr>
              <w:pStyle w:val="TableCell"/>
            </w:pPr>
            <w:r>
              <w:rPr>
                <w:b/>
              </w:rPr>
              <w:t xml:space="preserve">Questionable</w:t>
            </w:r>
          </w:p>
        </w:tc>
        <w:tc>
          <w:tcPr>
            <w:tcW w:w="2000" w:type="dxa"/>
          </w:tcPr>
          <w:p>
            <w:pPr>
              <w:pStyle w:val="TableCell"/>
            </w:pPr>
            <w:r>
              <w:rPr>
                <w:b/>
              </w:rPr>
              <w:t xml:space="preserve">Unclear</w:t>
            </w:r>
          </w:p>
        </w:tc>
        <w:tc>
          <w:tcPr>
            <w:tcW w:w="2000" w:type="dxa"/>
          </w:tcPr>
          <w:p>
            <w:pPr>
              <w:pStyle w:val="TableCell"/>
            </w:pPr>
            <w:r>
              <w:rPr>
                <w:b/>
              </w:rPr>
              <w:t xml:space="preserve">Total</w:t>
            </w:r>
          </w:p>
        </w:tc>
        <w:tc>
          <w:tcPr>
            <w:tcW w:w="2000" w:type="dxa"/>
          </w:tcPr>
          <w:p>
            <w:pPr>
              <w:pStyle w:val="TableCell"/>
            </w:pPr>
            <w:r>
              <w:rPr>
                <w:b/>
              </w:rPr>
              <w:t xml:space="preserve">Confusion type</w:t>
            </w:r>
          </w:p>
        </w:tc>
      </w:tr>
      <w:tr>
        <w:tc>
          <w:tcPr>
            <w:tcW w:w="2000" w:type="dxa"/>
          </w:tcPr>
          <w:p>
            <w:pPr>
              <w:pStyle w:val="TableCell"/>
            </w:pPr>
            <w:r>
              <w:t xml:space="preserve">supported</w:t>
            </w:r>
          </w:p>
        </w:tc>
        <w:tc>
          <w:tcPr>
            <w:tcW w:w="2000" w:type="dxa"/>
          </w:tcPr>
          <w:p>
            <w:pPr>
              <w:pStyle w:val="TableCell"/>
            </w:pPr>
            <w:r>
              <w:t xml:space="preserve">7</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7</w:t>
            </w:r>
          </w:p>
        </w:tc>
        <w:tc>
          <w:tcPr>
            <w:tcW w:w="2000" w:type="dxa"/>
          </w:tcPr>
          <w:p>
            <w:pPr>
              <w:pStyle w:val="TableCell"/>
            </w:pPr>
            <w:r>
              <w:t xml:space="preserve">none</w:t>
            </w:r>
          </w:p>
        </w:tc>
      </w:tr>
      <w:tr>
        <w:tc>
          <w:tcPr>
            <w:tcW w:w="2000" w:type="dxa"/>
          </w:tcPr>
          <w:p>
            <w:pPr>
              <w:pStyle w:val="TableCell"/>
            </w:pPr>
            <w:r>
              <w:t xml:space="preserve">mild_scope_overclaim</w:t>
            </w:r>
          </w:p>
        </w:tc>
        <w:tc>
          <w:tcPr>
            <w:tcW w:w="2000" w:type="dxa"/>
          </w:tcPr>
          <w:p>
            <w:pPr>
              <w:pStyle w:val="TableCell"/>
            </w:pPr>
            <w:r>
              <w:t xml:space="preserve">3</w:t>
            </w:r>
          </w:p>
        </w:tc>
        <w:tc>
          <w:tcPr>
            <w:tcW w:w="2000" w:type="dxa"/>
          </w:tcPr>
          <w:p>
            <w:pPr>
              <w:pStyle w:val="TableCell"/>
            </w:pPr>
            <w:r>
              <w:t xml:space="preserve">0</w:t>
            </w:r>
          </w:p>
        </w:tc>
        <w:tc>
          <w:tcPr>
            <w:tcW w:w="2000" w:type="dxa"/>
          </w:tcPr>
          <w:p>
            <w:pPr>
              <w:pStyle w:val="TableCell"/>
            </w:pPr>
            <w:r>
              <w:t xml:space="preserve">4</w:t>
            </w:r>
          </w:p>
        </w:tc>
        <w:tc>
          <w:tcPr>
            <w:tcW w:w="2000" w:type="dxa"/>
          </w:tcPr>
          <w:p>
            <w:pPr>
              <w:pStyle w:val="TableCell"/>
            </w:pPr>
            <w:r>
              <w:t xml:space="preserve">7</w:t>
            </w:r>
          </w:p>
        </w:tc>
        <w:tc>
          <w:tcPr>
            <w:tcW w:w="2000" w:type="dxa"/>
          </w:tcPr>
          <w:p>
            <w:pPr>
              <w:pStyle w:val="TableCell"/>
            </w:pPr>
            <w:r>
              <w:t xml:space="preserve">mild_vs_strong</w:t>
            </w:r>
          </w:p>
        </w:tc>
      </w:tr>
      <w:tr>
        <w:tc>
          <w:tcPr>
            <w:tcW w:w="2000" w:type="dxa"/>
          </w:tcPr>
          <w:p>
            <w:pPr>
              <w:pStyle w:val="TableCell"/>
            </w:pPr>
            <w:r>
              <w:t xml:space="preserve">strong_action_overclaim</w:t>
            </w:r>
          </w:p>
        </w:tc>
        <w:tc>
          <w:tcPr>
            <w:tcW w:w="2000" w:type="dxa"/>
          </w:tcPr>
          <w:p>
            <w:pPr>
              <w:pStyle w:val="TableCell"/>
            </w:pPr>
            <w:r>
              <w:t xml:space="preserve">5</w:t>
            </w:r>
          </w:p>
        </w:tc>
        <w:tc>
          <w:tcPr>
            <w:tcW w:w="2000" w:type="dxa"/>
          </w:tcPr>
          <w:p>
            <w:pPr>
              <w:pStyle w:val="TableCell"/>
            </w:pPr>
            <w:r>
              <w:t xml:space="preserve">5</w:t>
            </w:r>
          </w:p>
        </w:tc>
        <w:tc>
          <w:tcPr>
            <w:tcW w:w="2000" w:type="dxa"/>
          </w:tcPr>
          <w:p>
            <w:pPr>
              <w:pStyle w:val="TableCell"/>
            </w:pPr>
            <w:r>
              <w:t xml:space="preserve">10</w:t>
            </w:r>
          </w:p>
        </w:tc>
        <w:tc>
          <w:tcPr>
            <w:tcW w:w="2000" w:type="dxa"/>
          </w:tcPr>
          <w:p>
            <w:pPr>
              <w:pStyle w:val="TableCell"/>
            </w:pPr>
            <w:r>
              <w:t xml:space="preserve">20</w:t>
            </w:r>
          </w:p>
        </w:tc>
        <w:tc>
          <w:tcPr>
            <w:tcW w:w="2000" w:type="dxa"/>
          </w:tcPr>
          <w:p>
            <w:pPr>
              <w:pStyle w:val="TableCell"/>
            </w:pPr>
            <w:r>
              <w:t xml:space="preserve">mild_vs_strong</w:t>
            </w:r>
          </w:p>
        </w:tc>
      </w:tr>
      <w:tr>
        <w:tc>
          <w:tcPr>
            <w:tcW w:w="2000" w:type="dxa"/>
          </w:tcPr>
          <w:p>
            <w:pPr>
              <w:pStyle w:val="TableCell"/>
            </w:pPr>
            <w:r>
              <w:t xml:space="preserve">contradiction_candidate</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6</w:t>
            </w:r>
          </w:p>
        </w:tc>
        <w:tc>
          <w:tcPr>
            <w:tcW w:w="2000" w:type="dxa"/>
          </w:tcPr>
          <w:p>
            <w:pPr>
              <w:pStyle w:val="TableCell"/>
            </w:pPr>
            <w:r>
              <w:t xml:space="preserve">6</w:t>
            </w:r>
          </w:p>
        </w:tc>
        <w:tc>
          <w:tcPr>
            <w:tcW w:w="2000" w:type="dxa"/>
          </w:tcPr>
          <w:p>
            <w:pPr>
              <w:pStyle w:val="TableCell"/>
            </w:pPr>
            <w:r>
              <w:t xml:space="preserve">strong_vs_contradiction</w:t>
            </w:r>
          </w:p>
        </w:tc>
      </w:tr>
      <w:tr>
        <w:tc>
          <w:tcPr>
            <w:tcW w:w="2000" w:type="dxa"/>
          </w:tcPr>
          <w:p>
            <w:pPr>
              <w:pStyle w:val="TableCell"/>
            </w:pPr>
            <w:r>
              <w:rPr>
                <w:b/>
              </w:rPr>
              <w:t xml:space="preserve">Total</w:t>
            </w:r>
          </w:p>
        </w:tc>
        <w:tc>
          <w:tcPr>
            <w:tcW w:w="2000" w:type="dxa"/>
          </w:tcPr>
          <w:p>
            <w:pPr>
              <w:pStyle w:val="TableCell"/>
            </w:pPr>
            <w:r>
              <w:rPr>
                <w:b/>
              </w:rPr>
              <w:t xml:space="preserve">15</w:t>
            </w:r>
          </w:p>
        </w:tc>
        <w:tc>
          <w:tcPr>
            <w:tcW w:w="2000" w:type="dxa"/>
          </w:tcPr>
          <w:p>
            <w:pPr>
              <w:pStyle w:val="TableCell"/>
            </w:pPr>
            <w:r>
              <w:rPr>
                <w:b/>
              </w:rPr>
              <w:t xml:space="preserve">5</w:t>
            </w:r>
          </w:p>
        </w:tc>
        <w:tc>
          <w:tcPr>
            <w:tcW w:w="2000" w:type="dxa"/>
          </w:tcPr>
          <w:p>
            <w:pPr>
              <w:pStyle w:val="TableCell"/>
            </w:pPr>
            <w:r>
              <w:rPr>
                <w:b/>
              </w:rPr>
              <w:t xml:space="preserve">20</w:t>
            </w:r>
          </w:p>
        </w:tc>
        <w:tc>
          <w:tcPr>
            <w:tcW w:w="2000" w:type="dxa"/>
          </w:tcPr>
          <w:p>
            <w:pPr>
              <w:pStyle w:val="TableCell"/>
            </w:pPr>
            <w:r>
              <w:rPr>
                <w:b/>
              </w:rPr>
              <w:t xml:space="preserve">40</w:t>
            </w:r>
          </w:p>
        </w:tc>
        <w:tc>
          <w:tcPr>
            <w:tcW w:w="2000" w:type="dxa"/>
          </w:tcPr>
          <w:p>
            <w:pPr>
              <w:pStyle w:val="TableCell"/>
            </w:pPr>
            <w:r>
              <w:t xml:space="preserve">—</w:t>
            </w:r>
          </w:p>
        </w:tc>
      </w:tr>
    </w:tbl>
    <w:p>
      <w:r>
        <w:rPr>
          <w:b/>
        </w:rPr>
        <w:t xml:space="preserve">Root causes (25 questionable/unclear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Root cause</w:t>
            </w:r>
          </w:p>
        </w:tc>
        <w:tc>
          <w:tcPr>
            <w:tcW w:w="2000" w:type="dxa"/>
          </w:tcPr>
          <w:p>
            <w:pPr>
              <w:pStyle w:val="TableCell"/>
            </w:pPr>
            <w:r>
              <w:rPr>
                <w:b/>
              </w:rPr>
              <w:t xml:space="preserve">Cases</w:t>
            </w:r>
          </w:p>
        </w:tc>
        <w:tc>
          <w:tcPr>
            <w:tcW w:w="2000" w:type="dxa"/>
          </w:tcPr>
          <w:p>
            <w:pPr>
              <w:pStyle w:val="TableCell"/>
            </w:pPr>
            <w:r>
              <w:rPr>
                <w:b/>
              </w:rPr>
              <w:t xml:space="preserve">%</w:t>
            </w:r>
          </w:p>
        </w:tc>
        <w:tc>
          <w:tcPr>
            <w:tcW w:w="2000" w:type="dxa"/>
          </w:tcPr>
          <w:p>
            <w:pPr>
              <w:pStyle w:val="TableCell"/>
            </w:pPr>
            <w:r>
              <w:rPr>
                <w:b/>
              </w:rPr>
              <w:t xml:space="preserve">Implication</w:t>
            </w:r>
          </w:p>
        </w:tc>
      </w:tr>
      <w:tr>
        <w:tc>
          <w:tcPr>
            <w:tcW w:w="2000" w:type="dxa"/>
          </w:tcPr>
          <w:p>
            <w:pPr>
              <w:pStyle w:val="TableCell"/>
            </w:pPr>
            <w:r>
              <w:t xml:space="preserve">mild_vs_strong_boundary_unclear</w:t>
            </w:r>
          </w:p>
        </w:tc>
        <w:tc>
          <w:tcPr>
            <w:tcW w:w="2000" w:type="dxa"/>
          </w:tcPr>
          <w:p>
            <w:pPr>
              <w:pStyle w:val="TableCell"/>
            </w:pPr>
            <w:r>
              <w:t xml:space="preserve">12</w:t>
            </w:r>
          </w:p>
        </w:tc>
        <w:tc>
          <w:tcPr>
            <w:tcW w:w="2000" w:type="dxa"/>
          </w:tcPr>
          <w:p>
            <w:pPr>
              <w:pStyle w:val="TableCell"/>
            </w:pPr>
            <w:r>
              <w:t xml:space="preserve">48%</w:t>
            </w:r>
          </w:p>
        </w:tc>
        <w:tc>
          <w:tcPr>
            <w:tcW w:w="2000" w:type="dxa"/>
          </w:tcPr>
          <w:p>
            <w:pPr>
              <w:pStyle w:val="TableCell"/>
            </w:pPr>
            <w:r>
              <w:t xml:space="preserve">core taxonomy challenge; needs gold adjudication</w:t>
            </w:r>
          </w:p>
        </w:tc>
      </w:tr>
      <w:tr>
        <w:tc>
          <w:tcPr>
            <w:tcW w:w="2000" w:type="dxa"/>
          </w:tcPr>
          <w:p>
            <w:pPr>
              <w:pStyle w:val="TableCell"/>
            </w:pPr>
            <w:r>
              <w:t xml:space="preserve">strong_vs_contradiction_boundary_unclear</w:t>
            </w:r>
          </w:p>
        </w:tc>
        <w:tc>
          <w:tcPr>
            <w:tcW w:w="2000" w:type="dxa"/>
          </w:tcPr>
          <w:p>
            <w:pPr>
              <w:pStyle w:val="TableCell"/>
            </w:pPr>
            <w:r>
              <w:t xml:space="preserve">6</w:t>
            </w:r>
          </w:p>
        </w:tc>
        <w:tc>
          <w:tcPr>
            <w:tcW w:w="2000" w:type="dxa"/>
          </w:tcPr>
          <w:p>
            <w:pPr>
              <w:pStyle w:val="TableCell"/>
            </w:pPr>
            <w:r>
              <w:t xml:space="preserve">24%</w:t>
            </w:r>
          </w:p>
        </w:tc>
        <w:tc>
          <w:tcPr>
            <w:tcW w:w="2000" w:type="dxa"/>
          </w:tcPr>
          <w:p>
            <w:pPr>
              <w:pStyle w:val="TableCell"/>
            </w:pPr>
            <w:r>
              <w:t xml:space="preserve">audit missed detail-swapping; decision tree fixes this</w:t>
            </w:r>
          </w:p>
        </w:tc>
      </w:tr>
      <w:tr>
        <w:tc>
          <w:tcPr>
            <w:tcW w:w="2000" w:type="dxa"/>
          </w:tcPr>
          <w:p>
            <w:pPr>
              <w:pStyle w:val="TableCell"/>
            </w:pPr>
            <w:r>
              <w:t xml:space="preserve">claim_too_abstract</w:t>
            </w:r>
          </w:p>
        </w:tc>
        <w:tc>
          <w:tcPr>
            <w:tcW w:w="2000" w:type="dxa"/>
          </w:tcPr>
          <w:p>
            <w:pPr>
              <w:pStyle w:val="TableCell"/>
            </w:pPr>
            <w:r>
              <w:t xml:space="preserve">5</w:t>
            </w:r>
          </w:p>
        </w:tc>
        <w:tc>
          <w:tcPr>
            <w:tcW w:w="2000" w:type="dxa"/>
          </w:tcPr>
          <w:p>
            <w:pPr>
              <w:pStyle w:val="TableCell"/>
            </w:pPr>
            <w:r>
              <w:t xml:space="preserve">20%</w:t>
            </w:r>
          </w:p>
        </w:tc>
        <w:tc>
          <w:tcPr>
            <w:tcW w:w="2000" w:type="dxa"/>
          </w:tcPr>
          <w:p>
            <w:pPr>
              <w:pStyle w:val="TableCell"/>
            </w:pPr>
            <w:r>
              <w:t xml:space="preserve">claim generation issue, not taxonomy issue</w:t>
            </w:r>
          </w:p>
        </w:tc>
      </w:tr>
      <w:tr>
        <w:tc>
          <w:tcPr>
            <w:tcW w:w="2000" w:type="dxa"/>
          </w:tcPr>
          <w:p>
            <w:pPr>
              <w:pStyle w:val="TableCell"/>
            </w:pPr>
            <w:r>
              <w:t xml:space="preserve">audit_heuristic_too_conservative</w:t>
            </w:r>
          </w:p>
        </w:tc>
        <w:tc>
          <w:tcPr>
            <w:tcW w:w="2000" w:type="dxa"/>
          </w:tcPr>
          <w:p>
            <w:pPr>
              <w:pStyle w:val="TableCell"/>
            </w:pPr>
            <w:r>
              <w:t xml:space="preserve">2</w:t>
            </w:r>
          </w:p>
        </w:tc>
        <w:tc>
          <w:tcPr>
            <w:tcW w:w="2000" w:type="dxa"/>
          </w:tcPr>
          <w:p>
            <w:pPr>
              <w:pStyle w:val="TableCell"/>
            </w:pPr>
            <w:r>
              <w:t xml:space="preserve">8%</w:t>
            </w:r>
          </w:p>
        </w:tc>
        <w:tc>
          <w:tcPr>
            <w:tcW w:w="2000" w:type="dxa"/>
          </w:tcPr>
          <w:p>
            <w:pPr>
              <w:pStyle w:val="TableCell"/>
            </w:pPr>
            <w:r>
              <w:t xml:space="preserve">audit too strict; silver label likely defensible</w:t>
            </w:r>
          </w:p>
        </w:tc>
      </w:tr>
    </w:tbl>
    <w:p>
      <w:pPr>
        <w:pStyle w:val="ListBullet"/>
      </w:pPr>
      <w:r>
        <w:t xml:space="preserve">25/40 (62.5%) of silver labels are flagged as questionable or unclear — a real signal that silver labels require independent gold adjudication before the LLM under-detection finding can be treated as established.</w:t>
      </w:r>
    </w:p>
    <w:p>
      <w:pPr>
        <w:pStyle w:val="ListBullet"/>
      </w:pPr>
      <w:r>
        <w:t xml:space="preserve">The 25 cases are </w:t>
      </w:r>
      <w:r>
        <w:rPr>
          <w:i/>
        </w:rPr>
        <w:t xml:space="preserve">not</w:t>
      </w:r>
      <w:r>
        <w:t xml:space="preserve"> all label noise — they reflect a mix of taxonomy boundary issues, audit heuristic limitations, and genuinely hard cases.</w:t>
      </w:r>
    </w:p>
    <w:p>
      <w:pPr>
        <w:pStyle w:val="ListBullet"/>
      </w:pPr>
      <w:r>
        <w:t xml:space="preserve">strong_action_overclaim has the highest confusion rate (15/20 = 75%), mostly mild_vs_strong confusion. This is expected: strong_action is the most subtle class, and the boundary between mild and strong is the hardest to operationalize.</w:t>
      </w:r>
    </w:p>
    <w:p>
      <w:pPr>
        <w:pStyle w:val="ListBullet"/>
      </w:pPr>
      <w:r>
        <w:t xml:space="preserve">The 25 questionable/unclear cases are retained in `high_risk_sample_bank.csv` as boundary cases for gold adjudication priority; `trusted_case_bank.csv` (18 cases, ≥4 per class) provides clear illustrative cases for paper examples — none claimed as gold.</w:t>
      </w:r>
    </w:p>
    <w:p>
      <w:pPr>
        <w:pStyle w:val="Heading3"/>
      </w:pPr>
      <w:r>
        <w:t xml:space="preserve">D. External Transferability Probe</w:t>
      </w:r>
    </w:p>
    <w:p>
      <w:r>
        <w:t xml:space="preserve">We run a small gold-derived subset evaluation on SciFact and VitaminC. </w:t>
      </w:r>
      <w:r>
        <w:rPr>
          <w:b/>
        </w:rPr>
        <w:t xml:space="preserve">This is an external transferability probe and sanity check, not a validation of the four-class evidence-sufficiency taxonomy.</w:t>
      </w:r>
      <w:r>
        <w:t xml:space="preserve"> Public gold labels are preserved as original; the mapping to supported/contradiction_candidate/unsupported_or_insufficient is derived and does not map to strong/mild labels.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Dataset</w:t>
            </w:r>
          </w:p>
        </w:tc>
        <w:tc>
          <w:tcPr>
            <w:tcW w:w="2000" w:type="dxa"/>
          </w:tcPr>
          <w:p>
            <w:pPr>
              <w:pStyle w:val="TableCell"/>
            </w:pPr>
            <w:r>
              <w:rPr>
                <w:b/>
              </w:rPr>
              <w:t xml:space="preserve">Method</w:t>
            </w:r>
          </w:p>
        </w:tc>
        <w:tc>
          <w:tcPr>
            <w:tcW w:w="2000" w:type="dxa"/>
          </w:tcPr>
          <w:p>
            <w:pPr>
              <w:pStyle w:val="TableCell"/>
            </w:pPr>
            <w:r>
              <w:rPr>
                <w:b/>
              </w:rPr>
              <w:t xml:space="preserve">E1 Macro-F1</w:t>
            </w:r>
          </w:p>
        </w:tc>
        <w:tc>
          <w:tcPr>
            <w:tcW w:w="2000" w:type="dxa"/>
          </w:tcPr>
          <w:p>
            <w:pPr>
              <w:pStyle w:val="TableCell"/>
            </w:pPr>
            <w:r>
              <w:rPr>
                <w:b/>
              </w:rPr>
              <w:t xml:space="preserve">E2 Macro-F1</w:t>
            </w:r>
          </w:p>
        </w:tc>
      </w:tr>
      <w:tr>
        <w:tc>
          <w:tcPr>
            <w:tcW w:w="2000" w:type="dxa"/>
          </w:tcPr>
          <w:p>
            <w:pPr>
              <w:pStyle w:val="TableCell"/>
            </w:pPr>
            <w:r>
              <w:t xml:space="preserve">SciFact</w:t>
            </w:r>
          </w:p>
        </w:tc>
        <w:tc>
          <w:tcPr>
            <w:tcW w:w="2000" w:type="dxa"/>
          </w:tcPr>
          <w:p>
            <w:pPr>
              <w:pStyle w:val="TableCell"/>
            </w:pPr>
            <w:r>
              <w:t xml:space="preserve">TF-IDF claim+evidence</w:t>
            </w:r>
          </w:p>
        </w:tc>
        <w:tc>
          <w:tcPr>
            <w:tcW w:w="2000" w:type="dxa"/>
          </w:tcPr>
          <w:p>
            <w:pPr>
              <w:pStyle w:val="TableCell"/>
            </w:pPr>
            <w:r>
              <w:t xml:space="preserve">0.3350</w:t>
            </w:r>
          </w:p>
        </w:tc>
        <w:tc>
          <w:tcPr>
            <w:tcW w:w="2000" w:type="dxa"/>
          </w:tcPr>
          <w:p>
            <w:pPr>
              <w:pStyle w:val="TableCell"/>
            </w:pPr>
            <w:r>
              <w:t xml:space="preserve">0.5111</w:t>
            </w:r>
          </w:p>
        </w:tc>
      </w:tr>
      <w:tr>
        <w:tc>
          <w:tcPr>
            <w:tcW w:w="2000" w:type="dxa"/>
          </w:tcPr>
          <w:p>
            <w:pPr>
              <w:pStyle w:val="TableCell"/>
            </w:pPr>
            <w:r>
              <w:t xml:space="preserve">SciFact</w:t>
            </w:r>
          </w:p>
        </w:tc>
        <w:tc>
          <w:tcPr>
            <w:tcW w:w="2000" w:type="dxa"/>
          </w:tcPr>
          <w:p>
            <w:pPr>
              <w:pStyle w:val="TableCell"/>
            </w:pPr>
            <w:r>
              <w:t xml:space="preserve">NLI cross-encoder</w:t>
            </w:r>
          </w:p>
        </w:tc>
        <w:tc>
          <w:tcPr>
            <w:tcW w:w="2000" w:type="dxa"/>
          </w:tcPr>
          <w:p>
            <w:pPr>
              <w:pStyle w:val="TableCell"/>
            </w:pPr>
            <w:r>
              <w:rPr>
                <w:b/>
              </w:rPr>
              <w:t xml:space="preserve">0.6895</w:t>
            </w:r>
          </w:p>
        </w:tc>
        <w:tc>
          <w:tcPr>
            <w:tcW w:w="2000" w:type="dxa"/>
          </w:tcPr>
          <w:p>
            <w:pPr>
              <w:pStyle w:val="TableCell"/>
            </w:pPr>
            <w:r>
              <w:t xml:space="preserve">0.6034</w:t>
            </w:r>
          </w:p>
        </w:tc>
      </w:tr>
      <w:tr>
        <w:tc>
          <w:tcPr>
            <w:tcW w:w="2000" w:type="dxa"/>
          </w:tcPr>
          <w:p>
            <w:pPr>
              <w:pStyle w:val="TableCell"/>
            </w:pPr>
            <w:r>
              <w:t xml:space="preserve">SciFact</w:t>
            </w:r>
          </w:p>
        </w:tc>
        <w:tc>
          <w:tcPr>
            <w:tcW w:w="2000" w:type="dxa"/>
          </w:tcPr>
          <w:p>
            <w:pPr>
              <w:pStyle w:val="TableCell"/>
            </w:pPr>
            <w:r>
              <w:t xml:space="preserve">R4-compatible</w:t>
            </w:r>
          </w:p>
        </w:tc>
        <w:tc>
          <w:tcPr>
            <w:tcW w:w="2000" w:type="dxa"/>
          </w:tcPr>
          <w:p>
            <w:pPr>
              <w:pStyle w:val="TableCell"/>
            </w:pPr>
            <w:r>
              <w:t xml:space="preserve">0.3549</w:t>
            </w:r>
          </w:p>
        </w:tc>
        <w:tc>
          <w:tcPr>
            <w:tcW w:w="2000" w:type="dxa"/>
          </w:tcPr>
          <w:p>
            <w:pPr>
              <w:pStyle w:val="TableCell"/>
            </w:pPr>
            <w:r>
              <w:t xml:space="preserve">0.5166</w:t>
            </w:r>
          </w:p>
        </w:tc>
      </w:tr>
      <w:tr>
        <w:tc>
          <w:tcPr>
            <w:tcW w:w="2000" w:type="dxa"/>
          </w:tcPr>
          <w:p>
            <w:pPr>
              <w:pStyle w:val="TableCell"/>
            </w:pPr>
            <w:r>
              <w:t xml:space="preserve">VitaminC</w:t>
            </w:r>
          </w:p>
        </w:tc>
        <w:tc>
          <w:tcPr>
            <w:tcW w:w="2000" w:type="dxa"/>
          </w:tcPr>
          <w:p>
            <w:pPr>
              <w:pStyle w:val="TableCell"/>
            </w:pPr>
            <w:r>
              <w:t xml:space="preserve">TF-IDF claim+evidence</w:t>
            </w:r>
          </w:p>
        </w:tc>
        <w:tc>
          <w:tcPr>
            <w:tcW w:w="2000" w:type="dxa"/>
          </w:tcPr>
          <w:p>
            <w:pPr>
              <w:pStyle w:val="TableCell"/>
            </w:pPr>
            <w:r>
              <w:t xml:space="preserve">0.4277</w:t>
            </w:r>
          </w:p>
        </w:tc>
        <w:tc>
          <w:tcPr>
            <w:tcW w:w="2000" w:type="dxa"/>
          </w:tcPr>
          <w:p>
            <w:pPr>
              <w:pStyle w:val="TableCell"/>
            </w:pPr>
            <w:r>
              <w:t xml:space="preserve">0.5184</w:t>
            </w:r>
          </w:p>
        </w:tc>
      </w:tr>
      <w:tr>
        <w:tc>
          <w:tcPr>
            <w:tcW w:w="2000" w:type="dxa"/>
          </w:tcPr>
          <w:p>
            <w:pPr>
              <w:pStyle w:val="TableCell"/>
            </w:pPr>
            <w:r>
              <w:t xml:space="preserve">VitaminC</w:t>
            </w:r>
          </w:p>
        </w:tc>
        <w:tc>
          <w:tcPr>
            <w:tcW w:w="2000" w:type="dxa"/>
          </w:tcPr>
          <w:p>
            <w:pPr>
              <w:pStyle w:val="TableCell"/>
            </w:pPr>
            <w:r>
              <w:t xml:space="preserve">NLI cross-encoder</w:t>
            </w:r>
          </w:p>
        </w:tc>
        <w:tc>
          <w:tcPr>
            <w:tcW w:w="2000" w:type="dxa"/>
          </w:tcPr>
          <w:p>
            <w:pPr>
              <w:pStyle w:val="TableCell"/>
            </w:pPr>
            <w:r>
              <w:rPr>
                <w:b/>
              </w:rPr>
              <w:t xml:space="preserve">0.6686</w:t>
            </w:r>
          </w:p>
        </w:tc>
        <w:tc>
          <w:tcPr>
            <w:tcW w:w="2000" w:type="dxa"/>
          </w:tcPr>
          <w:p>
            <w:pPr>
              <w:pStyle w:val="TableCell"/>
            </w:pPr>
            <w:r>
              <w:t xml:space="preserve">0.5691</w:t>
            </w:r>
          </w:p>
        </w:tc>
      </w:tr>
      <w:tr>
        <w:tc>
          <w:tcPr>
            <w:tcW w:w="2000" w:type="dxa"/>
          </w:tcPr>
          <w:p>
            <w:pPr>
              <w:pStyle w:val="TableCell"/>
            </w:pPr>
            <w:r>
              <w:t xml:space="preserve">VitaminC</w:t>
            </w:r>
          </w:p>
        </w:tc>
        <w:tc>
          <w:tcPr>
            <w:tcW w:w="2000" w:type="dxa"/>
          </w:tcPr>
          <w:p>
            <w:pPr>
              <w:pStyle w:val="TableCell"/>
            </w:pPr>
            <w:r>
              <w:t xml:space="preserve">R4-compatible</w:t>
            </w:r>
          </w:p>
        </w:tc>
        <w:tc>
          <w:tcPr>
            <w:tcW w:w="2000" w:type="dxa"/>
          </w:tcPr>
          <w:p>
            <w:pPr>
              <w:pStyle w:val="TableCell"/>
            </w:pPr>
            <w:r>
              <w:t xml:space="preserve">0.4568</w:t>
            </w:r>
          </w:p>
        </w:tc>
        <w:tc>
          <w:tcPr>
            <w:tcW w:w="2000" w:type="dxa"/>
          </w:tcPr>
          <w:p>
            <w:pPr>
              <w:pStyle w:val="TableCell"/>
            </w:pPr>
            <w:r>
              <w:t xml:space="preserve">0.5197</w:t>
            </w:r>
          </w:p>
        </w:tc>
      </w:tr>
    </w:tbl>
    <w:p>
      <w:pPr>
        <w:pStyle w:val="ListBullet"/>
      </w:pPr>
      <w:r>
        <w:t xml:space="preserve">SciFact best E1 macro-F1: 0.6895 (NLI cross-encoder, N=271 per seed). VitaminC best E1: 0.6686 (NLI cross-encoder, N=300 per seed).</w:t>
      </w:r>
    </w:p>
    <w:p>
      <w:pPr>
        <w:pStyle w:val="ListBullet"/>
      </w:pPr>
      <w:r>
        <w:t xml:space="preserve">R4-compatible underperforms NLI on public data because (a) public datasets have no action-overclaim labels, so the strong-action route is inactive and R4 reduces to its contradiction + scope components; (b) R4 was not retrained on public data. The probe confirms that the contradiction + scope components run without crash on public data, </w:t>
      </w:r>
      <w:r>
        <w:rPr>
          <w:b/>
        </w:rPr>
        <w:t xml:space="preserve">not</w:t>
      </w:r>
      <w:r>
        <w:t xml:space="preserve"> that the full R4 framework transfers competitively.</w:t>
      </w:r>
    </w:p>
    <w:p>
      <w:pPr>
        <w:pStyle w:val="ListBullet"/>
      </w:pPr>
      <w:r>
        <w:t xml:space="preserve">Claim-only leakage is HIGH: claim-only TF-IDF is within 0.018–0.030 of claim+evidence TF-IDF, indicating that public data rewards claim-only shortcuts.</w:t>
      </w:r>
    </w:p>
    <w:p>
      <w:pPr>
        <w:pStyle w:val="ListBullet"/>
      </w:pPr>
      <w:r>
        <w:t xml:space="preserve">Evidence sensitivity (E3) on VitaminC official contrastive pairs (300 per seed): support-score delta = 0.0226 ± 0.007, sensitivity rate 46.9%. On SciFact synthetic perturbation (209 per seed): delta = 0.0056 ± 0.014, sensitivity rate 45.5% (near zero, as expected for synthetic perturbations).</w:t>
      </w:r>
    </w:p>
    <w:p>
      <w:r>
        <w:rPr>
          <w:b/>
        </w:rPr>
        <w:t xml:space="preserve">What this transferability probe does and does not show:</w:t>
      </w:r>
    </w:p>
    <w:p>
      <w:pPr>
        <w:pStyle w:val="ListBullet"/>
      </w:pPr>
      <w:r>
        <w:t xml:space="preserve">R4-compatible methods run on public data without crash (contradiction + scope components transfer).</w:t>
      </w:r>
    </w:p>
    <w:p>
      <w:pPr>
        <w:pStyle w:val="ListBullet"/>
      </w:pPr>
      <w:r>
        <w:t xml:space="preserve">NLI cross-encoder is a strong generic support/refutation baseline on public data.</w:t>
      </w:r>
    </w:p>
    <w:p>
      <w:pPr>
        <w:pStyle w:val="ListBullet"/>
      </w:pPr>
      <w:r>
        <w:t xml:space="preserve">Public datasets </w:t>
      </w:r>
      <w:r>
        <w:rPr>
          <w:b/>
        </w:rPr>
        <w:t xml:space="preserve">cannot</w:t>
      </w:r>
      <w:r>
        <w:t xml:space="preserve"> test the four-class evidence-sufficiency taxonomy (no action-overclaim labels).</w:t>
      </w:r>
    </w:p>
    <w:p>
      <w:pPr>
        <w:pStyle w:val="ListBullet"/>
      </w:pPr>
      <w:r>
        <w:t xml:space="preserve">Public datasets </w:t>
      </w:r>
      <w:r>
        <w:rPr>
          <w:b/>
        </w:rPr>
        <w:t xml:space="preserve">cannot</w:t>
      </w:r>
      <w:r>
        <w:t xml:space="preserve"> replace SimClaim gold evaluation.</w:t>
      </w:r>
    </w:p>
    <w:p>
      <w:pPr>
        <w:pStyle w:val="ListBullet"/>
      </w:pPr>
      <w:r>
        <w:t xml:space="preserve">Public results are </w:t>
      </w:r>
      <w:r>
        <w:rPr>
          <w:b/>
        </w:rPr>
        <w:t xml:space="preserve">transferability probes and sanity checks</w:t>
      </w:r>
      <w:r>
        <w:t xml:space="preserve">, not benchmark superiority claims.</w:t>
      </w:r>
    </w:p>
    <w:p>
      <w:pPr>
        <w:pStyle w:val="Heading2"/>
      </w:pPr>
      <w:r>
        <w:t xml:space="preserve">VII. Pre-Registered Gold Validation Protocol</w:t>
      </w:r>
    </w:p>
    <w:p>
      <w:pPr>
        <w:pStyle w:val="TableCell"/>
      </w:pPr>
      <w:r>
        <w:t xml:space="preserve">This section specifies the protocol-locked gold validation: why gold is needed, what it will test, what metrics it will report, and what happens to the paper's claims if gold does not support the current silver-stage taxonomy. </w:t>
      </w:r>
      <w:r>
        <w:rPr>
          <w:b/>
        </w:rPr>
        <w:t xml:space="preserve">No gold annotation has been performed.</w:t>
      </w:r>
      <w:r>
        <w:t xml:space="preserve"> All entries in Tables G1–G3 are marked `TO_BE_FILLED_AFTER_GOLD`. The pre-registered success and downgrade criteria are frozen in `gold_validation_protocol_section.md`. This section is the validation-pending protocol; the results will be filled in after the 50-sample gold pilot is completed. This is a protocol-locked validation mechanism, not a post-hoc tuning loop.</w:t>
      </w:r>
    </w:p>
    <w:p>
      <w:pPr>
        <w:pStyle w:val="Heading3"/>
      </w:pPr>
      <w:r>
        <w:t xml:space="preserve">A. Why Gold Is Needed</w:t>
      </w:r>
    </w:p>
    <w:p>
      <w:r>
        <w:t xml:space="preserve">All 444 SimClaim labels are currently </w:t>
      </w:r>
      <w:r>
        <w:rPr>
          <w:b/>
        </w:rPr>
        <w:t xml:space="preserve">silver</w:t>
      </w:r>
      <w:r>
        <w:t xml:space="preserve"> (AI-preannotated, author-screened). The author sanity audit (§V.D) flags 25/40 (62.5%) of audited silver labels as questionable or unclear, with strong_action_overclaim showing a 75% confusion rate. Every numeric result in §VI — on the controlled silver-stage evaluation, R4 strong-F1 = 0.3967, LLM strong-F1 = 0.0769, the +0.2231 gap — is computed against these silver labels. Without independent gold adjudication, we cannot tell whether the central silver-stage finding (R4 targets a relation that LLM judges miss under the tested prompts) reflects a real property of LLM judges or an artifact of silver label noise concentrated at the mild_vs_strong boundary. Gold adjudication is therefore the single most consequential next step — and it is pre-registered to ensure it is a validation mechanism, not a tuning opportunity.</w:t>
      </w:r>
    </w:p>
    <w:p>
      <w:pPr>
        <w:pStyle w:val="Heading3"/>
      </w:pPr>
      <w:r>
        <w:t xml:space="preserve">B. Gold Is for Validation, Not for Tuning</w:t>
      </w:r>
    </w:p>
    <w:p>
      <w:r>
        <w:t xml:space="preserve">Gold labels will </w:t>
      </w:r>
      <w:r>
        <w:rPr>
          <w:b/>
        </w:rPr>
        <w:t xml:space="preserve">not</w:t>
      </w:r>
      <w:r>
        <w:t xml:space="preserve"> be used to re-tune R4 thresholds, re-fit the decision tree, re-select router variants, or modify the taxonomy boundary rules. R4 thresholds (`t_contra = 0.48`, `t_strong = 0.535`, `t_svm = 0.51`) and the four-step decision tree (Figure 2) are already frozen. Gold labels will be used </w:t>
      </w:r>
      <w:r>
        <w:rPr>
          <w:b/>
        </w:rPr>
        <w:t xml:space="preserve">only</w:t>
      </w:r>
      <w:r>
        <w:t xml:space="preserve"> as an independent evaluation reference against which the frozen silver-stage R4 and the frozen silver-stage LLM judge predictions are scored. This separation is essential: if gold were used to re-tune the method, the resulting numbers would no longer be a valid test of the silver-stage finding.</w:t>
      </w:r>
    </w:p>
    <w:p>
      <w:pPr>
        <w:pStyle w:val="Heading3"/>
      </w:pPr>
      <w:r>
        <w:t xml:space="preserve">C. Silver-Stage Evidence Is Frozen</w:t>
      </w:r>
    </w:p>
    <w:p>
      <w:r>
        <w:t xml:space="preserve">The following silver-stage artifacts are frozen as of V3.10 and will not be regenerated, re-tuned, or modified in response to gold results:</w:t>
      </w:r>
    </w:p>
    <w:p>
      <w:pPr>
        <w:pStyle w:val="ListBullet"/>
      </w:pPr>
      <w:r>
        <w:t xml:space="preserve">The 444-row SimClaim silver-label pilot set and its group-aware train/dev/test splits.</w:t>
      </w:r>
    </w:p>
    <w:p>
      <w:pPr>
        <w:pStyle w:val="ListBullet"/>
      </w:pPr>
      <w:r>
        <w:t xml:space="preserve">The R4 frozen thresholds and the routing order (Figure 1).</w:t>
      </w:r>
    </w:p>
    <w:p>
      <w:pPr>
        <w:pStyle w:val="ListBullet"/>
      </w:pPr>
      <w:r>
        <w:t xml:space="preserve">The four-step decision tree (Figure 2) and the boundary rules in `taxonomy_boundary_decision_tree.md`.</w:t>
      </w:r>
    </w:p>
    <w:p>
      <w:pPr>
        <w:pStyle w:val="ListBullet"/>
      </w:pPr>
      <w:r>
        <w:t xml:space="preserve">The frozen R4 predictions on the 100 and 200 matched LLM-comparison samples.</w:t>
      </w:r>
    </w:p>
    <w:p>
      <w:pPr>
        <w:pStyle w:val="ListBullet"/>
      </w:pPr>
      <w:r>
        <w:t xml:space="preserve">The frozen LLM judge predictions (DeepSeek-V3 200, GPT-5.5 standard 100, GPT-5.5 structured 100).</w:t>
      </w:r>
    </w:p>
    <w:p>
      <w:pPr>
        <w:pStyle w:val="ListBullet"/>
      </w:pPr>
      <w:r>
        <w:t xml:space="preserve">The author sanity audit results (40 cases) and the 25 questionable/unclear root-cause distribution.</w:t>
      </w:r>
    </w:p>
    <w:p>
      <w:r>
        <w:t xml:space="preserve">If gold adjudication reveals a serious taxonomy problem (e.g., mild_vs_strong κ &lt; 0.40 — see §VII.G), the response is </w:t>
      </w:r>
      <w:r>
        <w:rPr>
          <w:b/>
        </w:rPr>
        <w:t xml:space="preserve">not</w:t>
      </w:r>
      <w:r>
        <w:t xml:space="preserve"> to re-tune against gold, but to </w:t>
      </w:r>
      <w:r>
        <w:rPr>
          <w:b/>
        </w:rPr>
        <w:t xml:space="preserve">revise the taxonomy and re-frame the paper's claims</w:t>
      </w:r>
      <w:r>
        <w:t xml:space="preserve"> — explicitly downgrading or retracting the strong_action class if the boundary is not reliably drawable. This is the protocol-locked safety mechanism.</w:t>
      </w:r>
    </w:p>
    <w:p>
      <w:pPr>
        <w:pStyle w:val="Heading3"/>
      </w:pPr>
      <w:r>
        <w:t xml:space="preserve">D. What Gold Will Test</w:t>
      </w:r>
    </w:p>
    <w:p>
      <w:r>
        <w:t xml:space="preserve">The planned gold validation tests six pre-registered hypotheses, each tied to a specific silver-stage claim in this manuscript:</w:t>
      </w:r>
    </w:p>
    <w:p>
      <w:pPr>
        <w:pStyle w:val="ListNumber"/>
      </w:pPr>
      <w:r>
        <w:rPr>
          <w:b/>
        </w:rPr>
        <w:t xml:space="preserve">H1 — Annotator agreement is sufficient to support the four-class taxonomy.</w:t>
      </w:r>
      <w:r>
        <w:t xml:space="preserve"> The silver-stage claim is that the four classes (supported, mild_scope_overclaim, strong_action_overclaim, contradiction_candidate) are reliably distinguishable by trained annotators using the frozen decision tree. The pre-registered threshold is overall agreement ≥ 0.70 and Cohen's κ ≥ 0.45 (Table G1).</w:t>
      </w:r>
    </w:p>
    <w:p>
      <w:pPr>
        <w:pStyle w:val="ListNumber"/>
      </w:pPr>
      <w:r>
        <w:rPr>
          <w:b/>
        </w:rPr>
        <w:t xml:space="preserve">H2 — The mild_vs_strong boundary is reliably drawable.</w:t>
      </w:r>
      <w:r>
        <w:t xml:space="preserve"> This is the boundary with the highest silver-stage confusion (12/25 questionable/unclear cases, 75% strong_action confusion rate). The pre-registered threshold is mild_vs_strong κ ≥ 0.40. Failure here triggers taxonomy revision (§VII.G).</w:t>
      </w:r>
    </w:p>
    <w:p>
      <w:pPr>
        <w:pStyle w:val="ListNumber"/>
      </w:pPr>
      <w:r>
        <w:rPr>
          <w:b/>
        </w:rPr>
        <w:t xml:space="preserve">H3 — Silver labels are substantially consistent with gold labels.</w:t>
      </w:r>
      <w:r>
        <w:t xml:space="preserve"> The silver-stage finding (R4 &gt; LLM on strong_action) is computed against silver. If silver-gold agreement is high, the silver-stage finding is supported; if not, the finding is downgraded. The pre-registered threshold is silver-gold agreement ≥ 0.70 and strong_action retention rate ≥ 0.60 (Table G2).</w:t>
      </w:r>
    </w:p>
    <w:p>
      <w:pPr>
        <w:pStyle w:val="ListNumber"/>
      </w:pPr>
      <w:r>
        <w:rPr>
          <w:b/>
        </w:rPr>
        <w:t xml:space="preserve">H4 — The LLM under-detection pattern survives gold.</w:t>
      </w:r>
      <w:r>
        <w:t xml:space="preserve"> The silver-stage finding is that LLM judges (GPT-5.5, DeepSeek-V3) under-detect strong_action_overclaim (strong_F1 = 0.0769, recall 0.04). Gold will re-score the same frozen LLM predictions against gold labels. If LLM strong recall remains low (e.g., ≤ 0.20), the silver-stage finding is supported.</w:t>
      </w:r>
    </w:p>
    <w:p>
      <w:pPr>
        <w:pStyle w:val="ListNumber"/>
      </w:pPr>
      <w:r>
        <w:rPr>
          <w:b/>
        </w:rPr>
        <w:t xml:space="preserve">H5 — R4 provides targeted complementary value on strong_action under gold.</w:t>
      </w:r>
      <w:r>
        <w:t xml:space="preserve"> The silver-stage finding is that R4 achieves strong_F1 = 0.3000 vs. LLM 0.0769 on matched 100. Gold will re-score the same frozen R4 predictions. The pre-registered expectation is that R4 strong recall remains meaningfully higher than LLM strong recall.</w:t>
      </w:r>
    </w:p>
    <w:p>
      <w:pPr>
        <w:pStyle w:val="ListNumber"/>
      </w:pPr>
      <w:r>
        <w:rPr>
          <w:b/>
        </w:rPr>
        <w:t xml:space="preserve">H6 — R4 or an LLM+R4 hybrid improves screening recall.</w:t>
      </w:r>
      <w:r>
        <w:t xml:space="preserve"> A practical use of R4 is as a screening layer that flags potential action overclaims for human or LLM review. Gold will report false positives per true positive (Table G3) to test whether R4's false-positive cost is acceptable for this screening use.</w:t>
      </w:r>
    </w:p>
    <w:p>
      <w:pPr>
        <w:pStyle w:val="Heading3"/>
      </w:pPr>
      <w:r>
        <w:t xml:space="preserve">E. What Gold Will Report</w:t>
      </w:r>
    </w:p>
    <w:p>
      <w:r>
        <w:t xml:space="preserve">Gold will populate three placeholder tables:</w:t>
      </w:r>
    </w:p>
    <w:p>
      <w:pPr>
        <w:pStyle w:val="ListBullet"/>
      </w:pPr>
      <w:r>
        <w:rPr>
          <w:b/>
        </w:rPr>
        <w:t xml:space="preserve">Table G1 (Annotation agreement)</w:t>
      </w:r>
      <w:r>
        <w:t xml:space="preserve"> — overall agreement, Cohen's κ, optional Krippendorff's α, per-boundary κ (supported_vs_mild, mild_vs_strong, strong_vs_contradiction), and unsure rate. See `gold_validation_placeholder_tables.csv`.</w:t>
      </w:r>
    </w:p>
    <w:p>
      <w:pPr>
        <w:pStyle w:val="ListBullet"/>
      </w:pPr>
      <w:r>
        <w:rPr>
          <w:b/>
        </w:rPr>
        <w:t xml:space="preserve">Table G2 (Silver-gold consistency)</w:t>
      </w:r>
      <w:r>
        <w:t xml:space="preserve"> — silver-gold agreement, strong_action retention rate, mild-to-strong shift, strong-to-mild shift, contradiction retention rate. See `gold_validation_placeholder_tables.csv`.</w:t>
      </w:r>
    </w:p>
    <w:p>
      <w:pPr>
        <w:pStyle w:val="ListBullet"/>
      </w:pPr>
      <w:r>
        <w:rPr>
          <w:b/>
        </w:rPr>
        <w:t xml:space="preserve">Table G3 (Gold-subset model evaluation)</w:t>
      </w:r>
      <w:r>
        <w:t xml:space="preserve"> — for each method (Flat baseline, NLI baseline, GPT standard, GPT decision-tree prompt, GPT few-shot prompt, DeepSeek, R4, LLM+R4 hybrid): macro-F1, strong precision, strong recall, strong F1, contradiction F1, false positives per true positive, status. See `gold_validation_placeholder_tables.csv`.</w:t>
      </w:r>
    </w:p>
    <w:p>
      <w:r>
        <w:t xml:space="preserve">All entries are currently `TO_BE_FILLED_AFTER_GOLD`. No numeric values are pre-filled or guessed.</w:t>
      </w:r>
    </w:p>
    <w:p>
      <w:pPr>
        <w:pStyle w:val="Heading3"/>
      </w:pPr>
      <w:r>
        <w:t xml:space="preserve">F. Gold Subset</w:t>
      </w:r>
    </w:p>
    <w:p>
      <w:r>
        <w:t xml:space="preserve">The gold pilot will use a 50-sample subset (`gold_pilot_candidate_50.csv`): 25 high-risk samples from `high_risk_sample_bank.csv` (concentrated at the mild_vs_strong and strong_vs_contradiction boundaries), 16 trusted samples from `trusted_case_bank.csv`, and 9 random samples from the remaining silver pool. Two annotators independently label under the frozen protocol; disagreements are adjudicated by a third annotator. Silver labels are hidden from annotators during labeling (`pilot_50_blind_annotation_A.csv`, `pilot_50_blind_annotation_B.csv`). The adjudication protocol is in `adjudication_protocol_v1.md`. The 50-sample size is a pilot — it is sufficient to estimate per-boundary κ and to detect fatal taxonomy problems; a confirmatory study (300–500 pairs) is a separate follow-up effort. If the 50-sample pilot passes, the paper proceeds to the confirmatory study; if it fails, the taxonomy is revised first.</w:t>
      </w:r>
    </w:p>
    <w:p>
      <w:pPr>
        <w:pStyle w:val="Heading3"/>
      </w:pPr>
      <w:r>
        <w:t xml:space="preserve">G. Pre-Registered Downgrade Criteria</w:t>
      </w:r>
    </w:p>
    <w:p>
      <w:r>
        <w:t xml:space="preserve">The following downgrade rules are </w:t>
      </w:r>
      <w:r>
        <w:rPr>
          <w:b/>
        </w:rPr>
        <w:t xml:space="preserve">pre-registered</w:t>
      </w:r>
      <w:r>
        <w:t xml:space="preserve"> and frozen in `gold_validation_protocol_section.md`:</w:t>
      </w:r>
    </w:p>
    <w:p>
      <w:pPr>
        <w:pStyle w:val="ListNumber"/>
      </w:pPr>
      <w:r>
        <w:rPr>
          <w:b/>
        </w:rPr>
        <w:t xml:space="preserve">mild_vs_strong κ &lt; 0.40 → taxonomy must be revised.</w:t>
      </w:r>
      <w:r>
        <w:t xml:space="preserve"> If the mild_vs_strong boundary is not reliably drawable, the strong_action_overclaim class may need to be merged with mild_scope_overclaim, weakening the paper's central contribution. The paper would be re-framed as a three-class framework (supported / scope_overclaim / contradiction_candidate) rather than a four-class framework.</w:t>
      </w:r>
    </w:p>
    <w:p>
      <w:pPr>
        <w:pStyle w:val="ListNumber"/>
      </w:pPr>
      <w:r>
        <w:rPr>
          <w:b/>
        </w:rPr>
        <w:t xml:space="preserve">strong_action retention &lt; 0.50 → paper claim downgraded.</w:t>
      </w:r>
      <w:r>
        <w:t xml:space="preserve"> If gold labels convert most silver-stage strong_action cases to mild, the silver-stage finding (R4 &gt; LLM on strong_action) becomes a finding about scope overclaim, not action overclaim. The paper would be re-framed accordingly.</w:t>
      </w:r>
    </w:p>
    <w:p>
      <w:pPr>
        <w:pStyle w:val="ListNumber"/>
      </w:pPr>
      <w:r>
        <w:rPr>
          <w:b/>
        </w:rPr>
        <w:t xml:space="preserve">GPT few-shot or decision-tree prompt fixes strong_action → LLM under-detection claim downgraded.</w:t>
      </w:r>
      <w:r>
        <w:t xml:space="preserve"> If a different prompt design closes the strong_action gap, the silver-stage finding is prompt-specific rather than pattern-specific.</w:t>
      </w:r>
    </w:p>
    <w:p>
      <w:pPr>
        <w:pStyle w:val="ListNumber"/>
      </w:pPr>
      <w:r>
        <w:rPr>
          <w:b/>
        </w:rPr>
        <w:t xml:space="preserve">R4 false positives too high → screening claim downgraded.</w:t>
      </w:r>
      <w:r>
        <w:t xml:space="preserve"> If R4 produces more than 10 false positives per true positive on gold, the screening use case is not viable.</w:t>
      </w:r>
    </w:p>
    <w:p>
      <w:pPr>
        <w:pStyle w:val="ListNumber"/>
      </w:pPr>
      <w:r>
        <w:rPr>
          <w:b/>
        </w:rPr>
        <w:t xml:space="preserve">LLM+R4 hybrid gives no screening gain → complementarity claim downgraded.</w:t>
      </w:r>
      <w:r>
        <w:t xml:space="preserve"> If combining LLM and R4 does not improve screening recall over R4 alone, the complementarity positioning is weakened.</w:t>
      </w:r>
    </w:p>
    <w:p>
      <w:pPr>
        <w:pStyle w:val="ListNumber"/>
      </w:pPr>
      <w:r>
        <w:rPr>
          <w:b/>
        </w:rPr>
        <w:t xml:space="preserve">mild_vs_strong κ ≥ 0.40 and strong_action retention ≥ 0.60 and LLM strong recall remains low → silver-stage findings supported.</w:t>
      </w:r>
      <w:r>
        <w:t xml:space="preserve"> This is the success path: the paper proceeds to a confirmatory submission with gold-validated numbers.</w:t>
      </w:r>
    </w:p>
    <w:p>
      <w:pPr>
        <w:pStyle w:val="Heading3"/>
      </w:pPr>
      <w:r>
        <w:t xml:space="preserve">H. Closing Position</w:t>
      </w:r>
    </w:p>
    <w:p>
      <w:r>
        <w:rPr>
          <w:b/>
        </w:rPr>
        <w:t xml:space="preserve">The downgrade criteria in §VII.G specify what happens if gold does not support the silver-stage findings.</w:t>
      </w:r>
      <w:r>
        <w:t xml:space="preserve"> Until gold results are available, all claims in this manuscript should be read as controlled silver-stage evidence, not as established properties of LLM judges or as a validated taxonomy. The gold validation slots (Tables G1–G3) are designed so that gold results can be inserted without restructuring the paper; if gold does not support the current taxonomy, the paper will be downgraded per §VII.G rather than re-tuned against gold. This is what "protocol-locked validation" means: the validation mechanism is fixed before the result is known.</w:t>
      </w:r>
    </w:p>
    <w:p>
      <w:pPr>
        <w:pStyle w:val="Heading2"/>
      </w:pPr>
      <w:r>
        <w:t xml:space="preserve">VIII. Discussion</w:t>
      </w:r>
    </w:p>
    <w:p>
      <w:pPr>
        <w:pStyle w:val="Heading3"/>
      </w:pPr>
      <w:r>
        <w:t xml:space="preserve">A. What R4 Adds Despite Lower Macro-F1</w:t>
      </w:r>
    </w:p>
    <w:p>
      <w:r>
        <w:t xml:space="preserve">A natural objection to the under-detection finding is: "LLMs have higher macro-F1, so they are better overall." This objection is correct — on the controlled silver-stage evaluation, LLM judges </w:t>
      </w:r>
      <w:r>
        <w:rPr>
          <w:b/>
        </w:rPr>
        <w:t xml:space="preserve">are</w:t>
      </w:r>
      <w:r>
        <w:t xml:space="preserve"> better overall (GPT-5.5 macro-F1 = 0.5523 vs. R4 = 0.3280 on matched 100 samples, a 0.22 gap). We do not dispute this. The point is that macro-F1 averages over four classes, three of which (supported, mild_scope_overclaim, contradiction_candidate) are well-handled by LLM judges. The fourth class — strong_action_overclaim — is the high-risk boundary class for scientific claim calibration, because it corresponds to cases where a claim is </w:t>
      </w:r>
      <w:r>
        <w:rPr>
          <w:i/>
        </w:rPr>
        <w:t xml:space="preserve">actionable</w:t>
      </w:r>
      <w:r>
        <w:t xml:space="preserve"> but the evidence is </w:t>
      </w:r>
      <w:r>
        <w:rPr>
          <w:i/>
        </w:rPr>
        <w:t xml:space="preserve">insufficient</w:t>
      </w:r>
      <w:r>
        <w:t xml:space="preserve"> for that action. A model that misses strong_action_overclaim may fail on cases that are consequential for scientific writing quality, even if its overall macro-F1 is high.</w:t>
      </w:r>
    </w:p>
    <w:p>
      <w:r>
        <w:t xml:space="preserve">R4's value is </w:t>
      </w:r>
      <w:r>
        <w:rPr>
          <w:b/>
        </w:rPr>
        <w:t xml:space="preserve">relation-specific</w:t>
      </w:r>
      <w:r>
        <w:t xml:space="preserve">: it targets the strong_action_overclaim relation that LLM judges miss under the tested prompts. This is a screening-oriented complement, not a competitive one. A combined system — LLM judge for supported/mild/contradiction, R4 for strong_action — could potentially exploit this complementarity, though we leave that to future work.</w:t>
      </w:r>
    </w:p>
    <w:p>
      <w:r>
        <w:rPr>
          <w:b/>
        </w:rPr>
        <w:t xml:space="preserve">R4 is not intended to maximize overall macro-F1. Its role is to screen for strong_action_overclaim candidates missed by LLM judges.</w:t>
      </w:r>
      <w:r>
        <w:t xml:space="preserve"> On the controlled silver-stage evaluation, R4 produces approximately 122 false positives (98 supported → strong + 24 mild → strong) against about 25 true strong_action cases in the silver-stage matched analysis, yielding an estimated FP/TP ratio around 4.9. </w:t>
      </w:r>
      <w:r>
        <w:rPr>
          <w:b/>
        </w:rPr>
        <w:t xml:space="preserve">This is not acceptable as a final automatic labeler, but is acceptable as a high-recall screening layer for human or LLM-assisted review.</w:t>
      </w:r>
      <w:r>
        <w:t xml:space="preserve"> Whether the macro-F1 gap is an acceptable trade-off depends on the downstream use case — for action-overclaim monitoring where missing a strong_action case is costly, the trade-off is favorable; for generic claim verification, an LLM judge alone is preferable. The screening viability will be re-evaluated under gold in Table G3 (FP/TP ratio against gold labels, pre-registered threshold ≤ 10 in §VII.G).</w:t>
      </w:r>
    </w:p>
    <w:p>
      <w:pPr>
        <w:pStyle w:val="Heading3"/>
      </w:pPr>
      <w:r>
        <w:t xml:space="preserve">B. Why strong_action Is Difficult for LLM Judges</w:t>
      </w:r>
    </w:p>
    <w:p>
      <w:r>
        <w:t xml:space="preserve">Action-overclaim is the core hard case because it sits between support and contradiction. The evidence is relevant and non-contradictory, but it does not justify the action, deployment, safety, or generalization asserted by the claim. Generic NLI signals do not separate "supports a finding" from "supports the action claimed", because both are entailment-like at the factual level. LLM judges, trained on generic factuality, tend to map these cases to supported, mild_scope_overclaim, or contradiction_candidate — all of which miss the action-escalation signal.</w:t>
      </w:r>
    </w:p>
    <w:p>
      <w:r>
        <w:t xml:space="preserve">The pattern is observed across the two tested models. Both GPT-5.5 and DeepSeek-V3 converge on strong_F1 = 0.0769 (recall = 0.04 = 1/25) on the controlled silver-stage evaluation, and this structured 5-step decomposition prompt design does not change this. This suggests an under-detection pattern observed under the tested prompts, not a single-model quirk. We do not claim this is a fundamental limit of LLMs — it is prompt/model/sample specific and computed against silver labels (which the author sanity audit flags as 62.5% questionable/unclear) — but under the tested prompts, the pattern is observed across the two tested models and suggests that a relation-specific router can complement black-box LLM judges. R4's design directly addresses this: the strong-action escalation route uses action-gap features (the gap between the action implied by the claim and the action supported by the evidence) in addition to NLI signals. The ablation confirms that NLI and action-gap features are complementary: combining them improves strong expert F1 over either alone (0.4209 vs. 0.3934 NLI-only, 0.3648 action-gap-only). Other prompt designs (few-shot, chain-of-thought, tool-augmented) remain untested and might behave differently. </w:t>
      </w:r>
      <w:r>
        <w:rPr>
          <w:b/>
        </w:rPr>
        <w:t xml:space="preserve">The pre-registered gold adjudication (§VII) is the protocol-locked mechanism that determines whether this silver-stage pattern is treated as established.</w:t>
      </w:r>
    </w:p>
    <w:p>
      <w:pPr>
        <w:pStyle w:val="Heading3"/>
      </w:pPr>
      <w:r>
        <w:t xml:space="preserve">C. Boundary Cases Are Part of Evidence Sufficiency</w:t>
      </w:r>
    </w:p>
    <w:p>
      <w:r>
        <w:t xml:space="preserve">A reviewer might argue that the 25/40 questionable/unclear audit rate means the taxonomy is too subjective to be useful. We disagree, but we state the argument carefully.</w:t>
      </w:r>
    </w:p>
    <w:p>
      <w:r>
        <w:t xml:space="preserve">Evidence sufficiency calibration is </w:t>
      </w:r>
      <w:r>
        <w:rPr>
          <w:i/>
        </w:rPr>
        <w:t xml:space="preserve">inherently a boundary task</w:t>
      </w:r>
      <w:r>
        <w:t xml:space="preserve">. The four classes are not disjoint categories with sharp edges — they are regions on a continuous space of claim-evidence strength mismatch. The hardest boundaries (mild-vs-strong, strong-vs-contradiction) are where the taxonomy is most useful </w:t>
      </w:r>
      <w:r>
        <w:rPr>
          <w:i/>
        </w:rPr>
        <w:t xml:space="preserve">and</w:t>
      </w:r>
      <w:r>
        <w:t xml:space="preserve"> most uncertain. A 62.5% questionable/unclear rate on an audit that </w:t>
      </w:r>
      <w:r>
        <w:rPr>
          <w:i/>
        </w:rPr>
        <w:t xml:space="preserve">deliberately oversampled</w:t>
      </w:r>
      <w:r>
        <w:t xml:space="preserve"> strong_action_overclaim (20/40 = 50% of the audit sample, vs. 25% in the balanced set) is not evidence that the taxonomy is broken — it is evidence that the taxonomy surfaces the cases where human judgment is most needed.</w:t>
      </w:r>
    </w:p>
    <w:p>
      <w:r>
        <w:t xml:space="preserve">The root cause analysis supports this interpretation: 12/25 (48%) are mild_vs_strong_boundary_unclear (the core taxonomy challenge, expected to be hard); 6/25 (24%) are strong_vs_contradiction_boundary_unclear (the audit heuristic missed detail-swapping; the decision tree now operationalizes this); 5/25 (20%) are claim_too_abstract (a claim generation issue, not a taxonomy issue); 2/25 (8%) are audit_heuristic_too_conservative (the audit was too strict, not the labels too weak). Only a small fraction are candidates for </w:t>
      </w:r>
      <w:r>
        <w:rPr>
          <w:i/>
        </w:rPr>
        <w:t xml:space="preserve">likely label noise</w:t>
      </w:r>
      <w:r>
        <w:t xml:space="preserve">. The majority are genuinely hard boundary cases that any annotation scheme would struggle with. This means: (1) the aggregate silver-stage pattern (R4 &gt; LLM on strong_action) may hold even if individual labels shift under gold adjudication — but this is not guaranteed and is the subject of §VII; (2) the paper's claims are limited to aggregate silver-stage findings, not individual case correctness; (3) trusted cases (`trusted_case_bank.csv`) are used for paper examples; high-risk cases (`high_risk_sample_bank.csv`) are used for risk disclosure. The paper does not hide the 25 questionable/unclear cases — it reports them, diagnoses their root causes, and flags them as gold adjudication priority.</w:t>
      </w:r>
    </w:p>
    <w:p>
      <w:pPr>
        <w:pStyle w:val="Heading3"/>
      </w:pPr>
      <w:r>
        <w:t xml:space="preserve">D. Robustness and Credibility Checks Before Gold Adjudication</w:t>
      </w:r>
    </w:p>
    <w:p>
      <w:r>
        <w:rPr>
          <w:b/>
        </w:rPr>
        <w:t xml:space="preserve">These checks are non-gold robustness analyses. They do not replace gold adjudication (§VII).</w:t>
      </w:r>
      <w:r>
        <w:t xml:space="preserve"> All numeric results in this subsection are computed on already-existing silver-stage data, predictions, and scores — no new experiments, no API calls, no new model training, no threshold retuning, and no gold annotation. The three checks below test whether V3.11's main claims are (i) evidence-dependent rather than claim-only shortcuts, (ii) screening-useful despite R4's lower macro-F1, and (iii) robust to simulated strong-label shift of the kind gold adjudication may induce. They strengthen the silver-stage </w:t>
      </w:r>
      <w:r>
        <w:rPr>
          <w:i/>
        </w:rPr>
        <w:t xml:space="preserve">relative</w:t>
      </w:r>
      <w:r>
        <w:t xml:space="preserve"> pattern (R4 &gt; LLM on strong_action); they do not validate absolute numbers, which remain silver-stage pending §VII.</w:t>
      </w:r>
    </w:p>
    <w:p>
      <w:pPr>
        <w:pStyle w:val="Heading4"/>
      </w:pPr>
      <w:r>
        <w:t xml:space="preserve">A. Evidence Necessity Check</w:t>
      </w:r>
    </w:p>
    <w:p>
      <w:r>
        <w:t xml:space="preserve">This check tests whether the task and method are evidence-dependent rather than claim-only shortcuts. We use a two-layer analysis on existing data: (Layer A) a pre-existing NLI audit on 444 SimClaim samples comparing model accuracy under correct vs. perturbed evidence, and (Layer B) a TF-IDF cosine similarity sanity check between claim and evidence under each condition.</w:t>
      </w:r>
    </w:p>
    <w:p>
      <w:r>
        <w:t xml:space="preserve">Under Layer A (NLI audit, 444 samples), correct-evidence accuracy is 0.4324, while perturbed conditions drop substantially: empty evidence = 0.2545, shuffled evidence = 0.3851, same-domain wrong evidence = 0.2568. The accuracy drops under perturbation (correct→empty: −0.1779, correct→same_domain_wrong: −0.1757, correct→shuffled: −0.0473) suggest the task is evidence-sensitive: perturbing the evidence changes the calibration outcome, which is inconsistent with a claim-only shortcut.</w:t>
      </w:r>
    </w:p>
    <w:p>
      <w:r>
        <w:t xml:space="preserve">Under Layer B (TF-IDF cosine similarity, same 444 samples), correct-evidence mean similarity is 0.4131, while empty evidence = 0.0000 and same-domain wrong evidence = 0.0124. The shuffled-evidence TF-IDF cosine is identical to correct-evidence by construction, because TF-IDF is a bag-of-words representation and shuffled evidence preserves the same token multiset; the shuffled condition is therefore discriminated by the Layer A NLI audit (which is order-sensitive), not by Layer B. The TF-IDF/NLI correlation across conditions is r = −0.2736, which is expected rather than contradictory: TF-IDF measures surface lexical overlap, while NLI s_correct measures semantic entailment (which can hold even with low lexical overlap, e.g., paraphrase or abstraction). The two signals probe different dimensions of the claim–evidence relation and are complementary, not redundant.</w:t>
      </w:r>
    </w:p>
    <w:p>
      <w:r>
        <w:rPr>
          <w:b/>
        </w:rPr>
        <w:t xml:space="preserve">Interpretation.</w:t>
      </w:r>
      <w:r>
        <w:t xml:space="preserve"> The evidence perturbation results </w:t>
      </w:r>
      <w:r>
        <w:rPr>
          <w:i/>
        </w:rPr>
        <w:t xml:space="preserve">suggest</w:t>
      </w:r>
      <w:r>
        <w:t xml:space="preserve"> the task is evidence-sensitive and that the method responds to evidence content. We do </w:t>
      </w:r>
      <w:r>
        <w:rPr>
          <w:i/>
        </w:rPr>
        <w:t xml:space="preserve">not</w:t>
      </w:r>
      <w:r>
        <w:t xml:space="preserve"> claim this proves R4 fully relies on evidence in all cases — Layer A uses a pre-existing audit on the same SimClaim backbone but an earlier dataset version, and Layer B is a surface-level sanity check. The combined pattern (audit accuracy drops + TF-IDF similarity drops under content-changing perturbation) is consistent with evidence dependence and rules out the strongest form of claim-only shortcut, but does not establish full evidence reliance.</w:t>
      </w:r>
    </w:p>
    <w:p>
      <w:pPr>
        <w:pStyle w:val="Heading4"/>
      </w:pPr>
      <w:r>
        <w:t xml:space="preserve">B. Screening Utility Test</w:t>
      </w:r>
    </w:p>
    <w:p>
      <w:r>
        <w:t xml:space="preserve">This check tests whether R4 is useful as a screening-oriented complement for strong_action_overclaim, despite its lower overall macro-F1. Using frozen R4 predictions on the matched-100 set (25 true strong_action samples):</w:t>
      </w:r>
    </w:p>
    <w:p>
      <w:pPr>
        <w:pStyle w:val="ListBullet"/>
      </w:pPr>
      <w:r>
        <w:t xml:space="preserve">R4 predicted strong = 35; TP = 9; FP = 26; FN = 16.</w:t>
      </w:r>
    </w:p>
    <w:p>
      <w:pPr>
        <w:pStyle w:val="ListBullet"/>
      </w:pPr>
      <w:r>
        <w:t xml:space="preserve">Precision = 0.257; recall = 0.360; positive-F1 = 0.300.</w:t>
      </w:r>
    </w:p>
    <w:p>
      <w:pPr>
        <w:pStyle w:val="ListBullet"/>
      </w:pPr>
      <w:r>
        <w:t xml:space="preserve">FP/TP ratio = 2.89, below the pre-registered threshold of 10 (§VII.G).</w:t>
      </w:r>
    </w:p>
    <w:p>
      <w:pPr>
        <w:pStyle w:val="ListBullet"/>
      </w:pPr>
      <w:r>
        <w:t xml:space="preserve">Review burden = 35.0% (a human reviewer would need to check 35 of 100 samples).</w:t>
      </w:r>
    </w:p>
    <w:p>
      <w:pPr>
        <w:pStyle w:val="ListBullet"/>
      </w:pPr>
      <w:r>
        <w:t xml:space="preserve">R4 captures 8 strong_action cases that both tested LLM judges missed on the same matched-100 set.</w:t>
      </w:r>
    </w:p>
    <w:p>
      <w:r>
        <w:t xml:space="preserve">The actual false-positive breakdown by original silver class is: supported → strong = 12, mild_scope_overclaim → strong = 13, contradiction_candidate → strong = 1 (total FP = 26). The remaining 9 R4-predicted-strong samples whose silver label is strong_action_overclaim are true positives, not false positives.</w:t>
      </w:r>
    </w:p>
    <w:p>
      <w:r>
        <w:rPr>
          <w:b/>
        </w:rPr>
        <w:t xml:space="preserve">Interpretation.</w:t>
      </w:r>
      <w:r>
        <w:t xml:space="preserve"> R4 provides targeted recall-improving screening signal for strong_action_overclaim: it captures 8 cases the tested LLM judges missed, at an FP/TP ratio of 2.89 (below the pre-registered screening threshold). R4 is </w:t>
      </w:r>
      <w:r>
        <w:rPr>
          <w:i/>
        </w:rPr>
        <w:t xml:space="preserve">not</w:t>
      </w:r>
      <w:r>
        <w:t xml:space="preserve"> a final automatic labeler — the 26 false positives require human or LLM-assisted adjudication, which is exactly the gold validation protocol in §VII. We do </w:t>
      </w:r>
      <w:r>
        <w:rPr>
          <w:i/>
        </w:rPr>
        <w:t xml:space="preserve">not</w:t>
      </w:r>
      <w:r>
        <w:t xml:space="preserve"> claim R4 is a high-recall detector without qualification: recall is 0.360 (9/25), which is a moderate, not high, recall rate. The screening value is operational (FP/TP below threshold, captures LLM-missed cases), not a claim that R4 is a standalone strong_action detector. All counts depend on silver labels and may shift under gold adjudication.</w:t>
      </w:r>
    </w:p>
    <w:p>
      <w:pPr>
        <w:pStyle w:val="Heading4"/>
      </w:pPr>
      <w:r>
        <w:t xml:space="preserve">C. Label-Shift Stress Test</w:t>
      </w:r>
    </w:p>
    <w:p>
      <w:r>
        <w:t xml:space="preserve">This check tests how much the silver-stage strong_action screening claim can withstand if gold adjudication relabels a fraction of silver strong_action as mild_scope_overclaim. For each retention rate r, we randomly relabel (1−r) of silver strong_action as mild_scope, recompute binary strong_action F1 for R4 and the LLM judge, and repeat for 1000 bootstrap resamples on the matched-100 set (n_strong = 25). R4 predictions and LLM predictions are not retrained or retuned.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gridCol w:w="2000"/>
      </w:tblGrid>
      <w:tr>
        <w:tc>
          <w:tcPr>
            <w:tcW w:w="2000" w:type="dxa"/>
          </w:tcPr>
          <w:p>
            <w:pPr>
              <w:pStyle w:val="TableCell"/>
            </w:pPr>
            <w:r>
              <w:rPr>
                <w:b/>
              </w:rPr>
              <w:t xml:space="preserve">Retention</w:t>
            </w:r>
          </w:p>
        </w:tc>
        <w:tc>
          <w:tcPr>
            <w:tcW w:w="2000" w:type="dxa"/>
          </w:tcPr>
          <w:p>
            <w:pPr>
              <w:pStyle w:val="TableCell"/>
            </w:pPr>
            <w:r>
              <w:rPr>
                <w:b/>
              </w:rPr>
              <w:t xml:space="preserve">R4 F1 (mean, 95% CI)</w:t>
            </w:r>
          </w:p>
        </w:tc>
        <w:tc>
          <w:tcPr>
            <w:tcW w:w="2000" w:type="dxa"/>
          </w:tcPr>
          <w:p>
            <w:pPr>
              <w:pStyle w:val="TableCell"/>
            </w:pPr>
            <w:r>
              <w:rPr>
                <w:b/>
              </w:rPr>
              <w:t xml:space="preserve">LLM F1 (mean)</w:t>
            </w:r>
          </w:p>
        </w:tc>
        <w:tc>
          <w:tcPr>
            <w:tcW w:w="2000" w:type="dxa"/>
          </w:tcPr>
          <w:p>
            <w:pPr>
              <w:pStyle w:val="TableCell"/>
            </w:pPr>
            <w:r>
              <w:rPr>
                <w:b/>
              </w:rPr>
              <w:t xml:space="preserve">Δ(R4−LLM)</w:t>
            </w:r>
          </w:p>
        </w:tc>
        <w:tc>
          <w:tcPr>
            <w:tcW w:w="2000" w:type="dxa"/>
          </w:tcPr>
          <w:p>
            <w:pPr>
              <w:pStyle w:val="TableCell"/>
            </w:pPr>
            <w:r>
              <w:rPr>
                <w:b/>
              </w:rPr>
              <w:t xml:space="preserve">Δ 95% CI</w:t>
            </w:r>
          </w:p>
        </w:tc>
        <w:tc>
          <w:tcPr>
            <w:tcW w:w="2000" w:type="dxa"/>
          </w:tcPr>
          <w:p>
            <w:pPr>
              <w:pStyle w:val="TableCell"/>
            </w:pPr>
            <w:r>
              <w:rPr>
                <w:b/>
              </w:rPr>
              <w:t xml:space="preserve">R4 wins %</w:t>
            </w:r>
          </w:p>
        </w:tc>
        <w:tc>
          <w:tcPr>
            <w:tcW w:w="2000" w:type="dxa"/>
          </w:tcPr>
          <w:p>
            <w:pPr>
              <w:pStyle w:val="TableCell"/>
            </w:pPr>
            <w:r>
              <w:rPr>
                <w:b/>
              </w:rPr>
              <w:t xml:space="preserve">Statistical strength</w:t>
            </w:r>
          </w:p>
        </w:tc>
      </w:tr>
      <w:tr>
        <w:tc>
          <w:tcPr>
            <w:tcW w:w="2000" w:type="dxa"/>
          </w:tcPr>
          <w:p>
            <w:pPr>
              <w:pStyle w:val="TableCell"/>
            </w:pPr>
            <w:r>
              <w:t xml:space="preserve">70%</w:t>
            </w:r>
          </w:p>
        </w:tc>
        <w:tc>
          <w:tcPr>
            <w:tcW w:w="2000" w:type="dxa"/>
          </w:tcPr>
          <w:p>
            <w:pPr>
              <w:pStyle w:val="TableCell"/>
            </w:pPr>
            <w:r>
              <w:t xml:space="preserve">0.2451 [0.1509, 0.3028]</w:t>
            </w:r>
          </w:p>
        </w:tc>
        <w:tc>
          <w:tcPr>
            <w:tcW w:w="2000" w:type="dxa"/>
          </w:tcPr>
          <w:p>
            <w:pPr>
              <w:pStyle w:val="TableCell"/>
            </w:pPr>
            <w:r>
              <w:t xml:space="preserve">0.0759</w:t>
            </w:r>
          </w:p>
        </w:tc>
        <w:tc>
          <w:tcPr>
            <w:tcW w:w="2000" w:type="dxa"/>
          </w:tcPr>
          <w:p>
            <w:pPr>
              <w:pStyle w:val="TableCell"/>
            </w:pPr>
            <w:r>
              <w:t xml:space="preserve">+0.1692</w:t>
            </w:r>
          </w:p>
        </w:tc>
        <w:tc>
          <w:tcPr>
            <w:tcW w:w="2000" w:type="dxa"/>
          </w:tcPr>
          <w:p>
            <w:pPr>
              <w:pStyle w:val="TableCell"/>
            </w:pPr>
            <w:r>
              <w:t xml:space="preserve">[+0.083, +0.264]</w:t>
            </w:r>
          </w:p>
        </w:tc>
        <w:tc>
          <w:tcPr>
            <w:tcW w:w="2000" w:type="dxa"/>
          </w:tcPr>
          <w:p>
            <w:pPr>
              <w:pStyle w:val="TableCell"/>
            </w:pPr>
            <w:r>
              <w:t xml:space="preserve">100.0%</w:t>
            </w:r>
          </w:p>
        </w:tc>
        <w:tc>
          <w:tcPr>
            <w:tcW w:w="2000" w:type="dxa"/>
          </w:tcPr>
          <w:p>
            <w:pPr>
              <w:pStyle w:val="TableCell"/>
            </w:pPr>
            <w:r>
              <w:t xml:space="preserve">robust</w:t>
            </w:r>
          </w:p>
        </w:tc>
      </w:tr>
      <w:tr>
        <w:tc>
          <w:tcPr>
            <w:tcW w:w="2000" w:type="dxa"/>
          </w:tcPr>
          <w:p>
            <w:pPr>
              <w:pStyle w:val="TableCell"/>
            </w:pPr>
            <w:r>
              <w:t xml:space="preserve">60%</w:t>
            </w:r>
          </w:p>
        </w:tc>
        <w:tc>
          <w:tcPr>
            <w:tcW w:w="2000" w:type="dxa"/>
          </w:tcPr>
          <w:p>
            <w:pPr>
              <w:pStyle w:val="TableCell"/>
            </w:pPr>
            <w:r>
              <w:t xml:space="preserve">0.2184 [0.1200, 0.3200]</w:t>
            </w:r>
          </w:p>
        </w:tc>
        <w:tc>
          <w:tcPr>
            <w:tcW w:w="2000" w:type="dxa"/>
          </w:tcPr>
          <w:p>
            <w:pPr>
              <w:pStyle w:val="TableCell"/>
            </w:pPr>
            <w:r>
              <w:t xml:space="preserve">0.0776</w:t>
            </w:r>
          </w:p>
        </w:tc>
        <w:tc>
          <w:tcPr>
            <w:tcW w:w="2000" w:type="dxa"/>
          </w:tcPr>
          <w:p>
            <w:pPr>
              <w:pStyle w:val="TableCell"/>
            </w:pPr>
            <w:r>
              <w:t xml:space="preserve">+0.1408</w:t>
            </w:r>
          </w:p>
        </w:tc>
        <w:tc>
          <w:tcPr>
            <w:tcW w:w="2000" w:type="dxa"/>
          </w:tcPr>
          <w:p>
            <w:pPr>
              <w:pStyle w:val="TableCell"/>
            </w:pPr>
            <w:r>
              <w:t xml:space="preserve">[+0.035, +0.280]</w:t>
            </w:r>
          </w:p>
        </w:tc>
        <w:tc>
          <w:tcPr>
            <w:tcW w:w="2000" w:type="dxa"/>
          </w:tcPr>
          <w:p>
            <w:pPr>
              <w:pStyle w:val="TableCell"/>
            </w:pPr>
            <w:r>
              <w:t xml:space="preserve">98.6%</w:t>
            </w:r>
          </w:p>
        </w:tc>
        <w:tc>
          <w:tcPr>
            <w:tcW w:w="2000" w:type="dxa"/>
          </w:tcPr>
          <w:p>
            <w:pPr>
              <w:pStyle w:val="TableCell"/>
            </w:pPr>
            <w:r>
              <w:t xml:space="preserve">marginal-positive (CI lower bound just above 0)</w:t>
            </w:r>
          </w:p>
        </w:tc>
      </w:tr>
      <w:tr>
        <w:tc>
          <w:tcPr>
            <w:tcW w:w="2000" w:type="dxa"/>
          </w:tcPr>
          <w:p>
            <w:pPr>
              <w:pStyle w:val="TableCell"/>
            </w:pPr>
            <w:r>
              <w:t xml:space="preserve">50%</w:t>
            </w:r>
          </w:p>
        </w:tc>
        <w:tc>
          <w:tcPr>
            <w:tcW w:w="2000" w:type="dxa"/>
          </w:tcPr>
          <w:p>
            <w:pPr>
              <w:pStyle w:val="TableCell"/>
            </w:pPr>
            <w:r>
              <w:t xml:space="preserve">0.1843 [0.0851, 0.2979]</w:t>
            </w:r>
          </w:p>
        </w:tc>
        <w:tc>
          <w:tcPr>
            <w:tcW w:w="2000" w:type="dxa"/>
          </w:tcPr>
          <w:p>
            <w:pPr>
              <w:pStyle w:val="TableCell"/>
            </w:pPr>
            <w:r>
              <w:t xml:space="preserve">0.0706</w:t>
            </w:r>
          </w:p>
        </w:tc>
        <w:tc>
          <w:tcPr>
            <w:tcW w:w="2000" w:type="dxa"/>
          </w:tcPr>
          <w:p>
            <w:pPr>
              <w:pStyle w:val="TableCell"/>
            </w:pPr>
            <w:r>
              <w:t xml:space="preserve">+0.1137</w:t>
            </w:r>
          </w:p>
        </w:tc>
        <w:tc>
          <w:tcPr>
            <w:tcW w:w="2000" w:type="dxa"/>
          </w:tcPr>
          <w:p>
            <w:pPr>
              <w:pStyle w:val="TableCell"/>
            </w:pPr>
            <w:r>
              <w:t xml:space="preserve">[−0.026, +0.255]</w:t>
            </w:r>
          </w:p>
        </w:tc>
        <w:tc>
          <w:tcPr>
            <w:tcW w:w="2000" w:type="dxa"/>
          </w:tcPr>
          <w:p>
            <w:pPr>
              <w:pStyle w:val="TableCell"/>
            </w:pPr>
            <w:r>
              <w:t xml:space="preserve">94.2%</w:t>
            </w:r>
          </w:p>
        </w:tc>
        <w:tc>
          <w:tcPr>
            <w:tcW w:w="2000" w:type="dxa"/>
          </w:tcPr>
          <w:p>
            <w:pPr>
              <w:pStyle w:val="TableCell"/>
            </w:pPr>
            <w:r>
              <w:t xml:space="preserve">positive but statistically weaker / CI crosses zero</w:t>
            </w:r>
          </w:p>
        </w:tc>
      </w:tr>
      <w:tr>
        <w:tc>
          <w:tcPr>
            <w:tcW w:w="2000" w:type="dxa"/>
          </w:tcPr>
          <w:p>
            <w:pPr>
              <w:pStyle w:val="TableCell"/>
            </w:pPr>
            <w:r>
              <w:t xml:space="preserve">40%</w:t>
            </w:r>
          </w:p>
        </w:tc>
        <w:tc>
          <w:tcPr>
            <w:tcW w:w="2000" w:type="dxa"/>
          </w:tcPr>
          <w:p>
            <w:pPr>
              <w:pStyle w:val="TableCell"/>
            </w:pPr>
            <w:r>
              <w:t xml:space="preserve">0.1612 [0.0444, 0.2667]</w:t>
            </w:r>
          </w:p>
        </w:tc>
        <w:tc>
          <w:tcPr>
            <w:tcW w:w="2000" w:type="dxa"/>
          </w:tcPr>
          <w:p>
            <w:pPr>
              <w:pStyle w:val="TableCell"/>
            </w:pPr>
            <w:r>
              <w:t xml:space="preserve">0.0776</w:t>
            </w:r>
          </w:p>
        </w:tc>
        <w:tc>
          <w:tcPr>
            <w:tcW w:w="2000" w:type="dxa"/>
          </w:tcPr>
          <w:p>
            <w:pPr>
              <w:pStyle w:val="TableCell"/>
            </w:pPr>
            <w:r>
              <w:t xml:space="preserve">+0.0835</w:t>
            </w:r>
          </w:p>
        </w:tc>
        <w:tc>
          <w:tcPr>
            <w:tcW w:w="2000" w:type="dxa"/>
          </w:tcPr>
          <w:p>
            <w:pPr>
              <w:pStyle w:val="TableCell"/>
            </w:pPr>
            <w:r>
              <w:t xml:space="preserve">[−0.093, +0.222]</w:t>
            </w:r>
          </w:p>
        </w:tc>
        <w:tc>
          <w:tcPr>
            <w:tcW w:w="2000" w:type="dxa"/>
          </w:tcPr>
          <w:p>
            <w:pPr>
              <w:pStyle w:val="TableCell"/>
            </w:pPr>
            <w:r>
              <w:t xml:space="preserve">70.1%</w:t>
            </w:r>
          </w:p>
        </w:tc>
        <w:tc>
          <w:tcPr>
            <w:tcW w:w="2000" w:type="dxa"/>
          </w:tcPr>
          <w:p>
            <w:pPr>
              <w:pStyle w:val="TableCell"/>
            </w:pPr>
            <w:r>
              <w:t xml:space="preserve">not significant (CI crosses zero)</w:t>
            </w:r>
          </w:p>
        </w:tc>
      </w:tr>
    </w:tbl>
    <w:p>
      <w:r>
        <w:t xml:space="preserve">The break-even retention — where the Δ 95% CI first crosses zero — is approximately 0.5. At 70% retention, the R4 advantage is robust. At 60% retention, the R4 advantage is marginal-positive: the point estimate is +0.1408 and R4 wins 98.6% of bootstraps, but the CI lower bound (+0.035) is just above zero, so this should be read as a directional signal rather than a fully confirmed effect. At 50% retention, the point estimate remains positive (+0.1137) and R4 wins 94.2% of bootstraps, but the Δ 95% CI crosses zero ([−0.026, +0.255]); this is a positive-but-statistically-weaker result and must </w:t>
      </w:r>
      <w:r>
        <w:rPr>
          <w:i/>
        </w:rPr>
        <w:t xml:space="preserve">not</w:t>
      </w:r>
      <w:r>
        <w:t xml:space="preserve"> be reported as a robust pass. Below 50% retention, the CI clearly crosses zero and the advantage is not statistically distinguishable from zero.</w:t>
      </w:r>
    </w:p>
    <w:p>
      <w:r>
        <w:t xml:space="preserve">The point-estimate dominance persists down to low retention because the LLM judge's strong_action F1 is already near zero (~0.077) under the tested prompts: shrinking the positive set hurts R4's precision but cannot help the LLM, which rarely predicts strong_action at all. However, point-estimate dominance is not the same as statistical robustness — at 50% retention the CI crosses zero, so the advantage is directional, not confirmed.</w:t>
      </w:r>
    </w:p>
    <w:p>
      <w:r>
        <w:rPr>
          <w:b/>
        </w:rPr>
        <w:t xml:space="preserve">Interpretation.</w:t>
      </w:r>
      <w:r>
        <w:t xml:space="preserve"> If gold strong_action retention is around 60% or higher, the silver-stage screening claim has stronger support; at 50%, the point estimate remains positive but uncertainty crosses zero; below 50%, the paper should downgrade according to the pre-registered criteria in §VII.G. This sets a quantitative gold-pilot success bar: gold retention ≥ 70% → robust; 60% → marginal-positive; 50% → positive-but-weaker (CI crosses zero); &lt; 50% → downgrade per §VII.G. The simulated label shift is a sensitivity probe, not gold data; it does not replace gold adjudication.</w:t>
      </w:r>
    </w:p>
    <w:p>
      <w:pPr>
        <w:pStyle w:val="Heading4"/>
      </w:pPr>
      <w:r>
        <w:t xml:space="preserve">Summary of §VIII.D</w:t>
      </w:r>
    </w:p>
    <w:p>
      <w:r>
        <w:t xml:space="preserve">The three checks provide complementary non-gold support: (A) the task is evidence-sensitive, not a claim-only shortcut; (B) R4 provides targeted recall-improving screening signal for strong_action_overclaim at an operationally acceptable FP/TP ratio; (C) the silver-stage screening claim has quantified robustness to simulated strong-label shift, with a pre-registered break-even threshold (~50% retention) that ties directly to the §VII.G downgrade criteria. These strengthen the high-standard framework by (i) grounding the task in evidence dependence, (ii) giving R4's screening role operational meaning, and (iii) quantifying the gold risk via a retention threshold. They do not validate absolute numbers, do not replace gold adjudication, and do not change the fact that R4's overall macro-F1 remains lower than the LLM judges.</w:t>
      </w:r>
    </w:p>
    <w:p>
      <w:pPr>
        <w:pStyle w:val="Heading3"/>
      </w:pPr>
      <w:r>
        <w:t xml:space="preserve">E. What Remains Unresolved</w:t>
      </w:r>
    </w:p>
    <w:p>
      <w:r>
        <w:t xml:space="preserve">The most consequential unresolved issue is </w:t>
      </w:r>
      <w:r>
        <w:rPr>
          <w:b/>
        </w:rPr>
        <w:t xml:space="preserve">independent gold adjudication</w:t>
      </w:r>
      <w:r>
        <w:t xml:space="preserve"> (specified in §VII, not yet performed). All 444 SimClaim labels are still silver. The V3.5 root cause analysis shows that 12/25 questionable/unclear cases are </w:t>
      </w:r>
      <w:r>
        <w:rPr>
          <w:i/>
        </w:rPr>
        <w:t xml:space="preserve">genuinely hard boundary cases</w:t>
      </w:r>
      <w:r>
        <w:t xml:space="preserve"> (mild_vs_strong), which means even independent annotators may disagree on these cases. The decision tree (Figure 2) operationalizes the boundary but does not resolve it — 12 cases remain ambiguous even with the decision tree. If gold adjudication reveals that the mild/strong boundary is not reliably drawable (κ &lt; 0.4 on this boundary), the strong_action_overclaim class itself may need to be merged with mild, which would weaken the paper's central contribution.</w:t>
      </w:r>
    </w:p>
    <w:p>
      <w:r>
        <w:t xml:space="preserve">The decision tree is a </w:t>
      </w:r>
      <w:r>
        <w:rPr>
          <w:i/>
        </w:rPr>
        <w:t xml:space="preserve">labeling aid</w:t>
      </w:r>
      <w:r>
        <w:t xml:space="preserve">, not a validated annotation scheme. It has not been tested against gold labels (because no gold labels exist yet). It may misclassify cases that the decision tree's steps yield ambiguous results for, over-operationalize boundaries that are actually more nuanced, or introduce new biases (e.g., treating all detail-swapping as contradiction, when some detail-swapping may be mild or strong). The 18 trusted illustrative cases are </w:t>
      </w:r>
      <w:r>
        <w:rPr>
          <w:i/>
        </w:rPr>
        <w:t xml:space="preserve">not</w:t>
      </w:r>
      <w:r>
        <w:t xml:space="preserve"> gold — "reasonable" by author audit is not the same as "correct" by independent adjudication. A small fraction of questionable/unclear cases (5/25) are `claim_too_abstract`, indicating that the claim generation process sometimes produces claims too abstract to clearly map to the taxonomy. These are claim generation problems, not taxonomy problems, but they affect label quality. Until gold adjudication (§VII), decision-tree validation, prompt robustness sweeps, and open-source LLM replications are completed, the current results are reported as controlled silver-stage evidence, without claims of final benchmark readiness, and without claims that R4 outperforms LLM judges overall.</w:t>
      </w:r>
    </w:p>
    <w:p>
      <w:pPr>
        <w:pStyle w:val="Heading2"/>
      </w:pPr>
      <w:r>
        <w:t xml:space="preserve">IX. Limitations</w:t>
      </w:r>
    </w:p>
    <w:p>
      <w:r>
        <w:t xml:space="preserve">This work is a </w:t>
      </w:r>
      <w:r>
        <w:rPr>
          <w:b/>
        </w:rPr>
        <w:t xml:space="preserve">framework-level contribution with controlled silver-stage evidence</w:t>
      </w:r>
      <w:r>
        <w:t xml:space="preserve">, not a confirmatory benchmark. The limitations below define the boundary of what the current results do and do not support.</w:t>
      </w:r>
    </w:p>
    <w:p>
      <w:pPr>
        <w:pStyle w:val="ListNumber"/>
      </w:pPr>
      <w:r>
        <w:rPr>
          <w:b/>
        </w:rPr>
        <w:t xml:space="preserve">Silver labels are validation-pending, not gold.</w:t>
      </w:r>
      <w:r>
        <w:t xml:space="preserve"> The current dataset uses AI-preannotated, author-screened silver labels, not fully adjudicated gold. The author sanity audit (§V.D) flags 25/40 (62.5%) of silver labels as questionable or unclear, with strong_action_overclaim having a 75% confusion rate. All numeric results are controlled silver-stage findings. We do not claim gold/human-audited performance, human kappa, or final benchmark status from silver data alone. The LLM under-detection finding (§VI.B) is computed against these silver labels and must be interpreted as controlled silver-stage evidence, pending independent gold adjudication (§VII).</w:t>
      </w:r>
    </w:p>
    <w:p>
      <w:pPr>
        <w:pStyle w:val="ListNumber"/>
      </w:pPr>
      <w:r>
        <w:rPr>
          <w:b/>
        </w:rPr>
        <w:t xml:space="preserve">Author sanity audit is preliminary, not independent adjudication.</w:t>
      </w:r>
      <w:r>
        <w:t xml:space="preserve"> The audit in §V.D is a qualitative plausibility check by the authors, not independent human annotation with reported inter-annotator agreement. It flags label uncertainty but does not resolve it. Independent gold adjudication (two-annotator + adjudication, with Cohen's κ or Krippendorff's α) is required before the LLM under-detection finding can be treated as established. The planned gold pilot will prioritize the boundary cases in `high_risk_sample_bank.csv`, using the decision tree (Figure 2) as a starting operationalization.</w:t>
      </w:r>
    </w:p>
    <w:p>
      <w:pPr>
        <w:pStyle w:val="ListNumber"/>
      </w:pPr>
      <w:r>
        <w:rPr>
          <w:b/>
        </w:rPr>
        <w:t xml:space="preserve">LLM results are prompt/model/sample specific.</w:t>
      </w:r>
      <w:r>
        <w:t xml:space="preserve"> The GPT-5.5 and DeepSeek-V3 results are single-run, temperature 0, on ≤200 samples, under specific prompts. A different model, prompt, or sample may behave differently. We do not claim that "LLMs cannot solve strong_action_overclaim" — only that under the tested prompts, on the current silver diagnostic set, the pattern is observed across the two tested models. The structured 5-step decomposition result is a single prompt design; other decompositions (few-shot, chain-of-thought, tool-augmented) are untested and might behave differently.</w:t>
      </w:r>
    </w:p>
    <w:p>
      <w:pPr>
        <w:pStyle w:val="ListNumber"/>
      </w:pPr>
      <w:r>
        <w:rPr>
          <w:b/>
        </w:rPr>
        <w:t xml:space="preserve">R4 is not a general-purpose LLM judge replacement.</w:t>
      </w:r>
      <w:r>
        <w:t xml:space="preserve"> On matched 100 samples (controlled silver-stage evaluation), R4 macro-F1 = 0.3280 vs. GPT-5.5 = 0.5523 (gap 0.22). R4 is a relation-specific screening-oriented complement, not a general-purpose classifier. It sacrifices macro-F1 for strong_action recall. We do not claim R4 is better than LLM judges overall — we claim R4 provides targeted screening signal on the strong_action_overclaim relation, at the cost of lower overall macro-F1. R4 over-routes supported → strong (98 false positives) and mild → strong (24 false positives), a trade-off for improved strong recall.</w:t>
      </w:r>
    </w:p>
    <w:p>
      <w:pPr>
        <w:pStyle w:val="ListNumber"/>
      </w:pPr>
      <w:r>
        <w:rPr>
          <w:b/>
        </w:rPr>
        <w:t xml:space="preserve">Taxonomy boundary remains challenging.</w:t>
      </w:r>
      <w:r>
        <w:t xml:space="preserve"> The mild/strong boundary remains the central annotation challenge. The audit shows 12/25 questionable/unclear cases are mild_vs_strong_boundary_unclear, and strong_action has a 75% confusion rate. The decision tree (Figure 2) operationalizes the boundary, but 12 cases remain genuinely ambiguous. The strong_action numeric results (on the controlled silver-stage evaluation, R4 strong-F1 = 0.3967, LLM strong-F1 = 0.0769) should be read as controlled silver-stage evidence on a hard boundary, not as stable benchmark numbers. The planned gold pilot (§VII) will use two annotators with adjudication specifically on mild-vs-strong cases, and report inter-annotator agreement separately for this boundary.</w:t>
      </w:r>
    </w:p>
    <w:p>
      <w:pPr>
        <w:pStyle w:val="ListNumber"/>
      </w:pPr>
      <w:r>
        <w:rPr>
          <w:b/>
        </w:rPr>
        <w:t xml:space="preserve">External transferability probe does not validate the four-class taxonomy.</w:t>
      </w:r>
      <w:r>
        <w:t xml:space="preserve"> SciFact and VitaminC use support/refute/NEI labels and do not contain action-overclaim or scope-overclaim labels. External results validate only generic support/refutation transfer and evidence-sensitivity sanity, </w:t>
      </w:r>
      <w:r>
        <w:rPr>
          <w:b/>
        </w:rPr>
        <w:t xml:space="preserve">not</w:t>
      </w:r>
      <w:r>
        <w:t xml:space="preserve"> the SimClaim-specific four-class escalation task. Public data cannot replace SimClaim gold evaluation. R4-compatible underperforms NLI on public data because the strong-action route is inactive by design.</w:t>
      </w:r>
    </w:p>
    <w:p>
      <w:pPr>
        <w:pStyle w:val="ListNumber"/>
      </w:pPr>
      <w:r>
        <w:rPr>
          <w:b/>
        </w:rPr>
        <w:t xml:space="preserve">This manuscript is a framework-level contribution with a protocol-locked validation mechanism.</w:t>
      </w:r>
      <w:r>
        <w:t xml:space="preserve"> The gold validation section (§VII) is specified but not yet populated; all gold-related entries are marked `TO_BE_FILLED_AFTER_GOLD`. Final submission claims will be revised after gold results are available. If gold does not support the current taxonomy, the paper will be downgraded per the pre-registered criteria in §VII.G rather than re-tuned against gold. This is the protocol-locked safety mechanism.</w:t>
      </w:r>
    </w:p>
    <w:p>
      <w:pPr>
        <w:pStyle w:val="ListNumber"/>
      </w:pPr>
      <w:r>
        <w:rPr>
          <w:b/>
        </w:rPr>
        <w:t xml:space="preserve">The three credibility checks in §VIII.D are non-gold robustness analyses and do not replace independent gold adjudication.</w:t>
      </w:r>
      <w:r>
        <w:t xml:space="preserve"> The Evidence Necessity Check (§VIII.D.A) uses a pre-existing NLI audit on the same SimClaim backbone but an earlier dataset version, and the TF-IDF sanity check is a surface-level probe; together they </w:t>
      </w:r>
      <w:r>
        <w:rPr>
          <w:i/>
        </w:rPr>
        <w:t xml:space="preserve">suggest</w:t>
      </w:r>
      <w:r>
        <w:t xml:space="preserve"> evidence sensitivity but do not prove full evidence reliance. The Screening Utility Test (§VIII.D.B) reports FP/TP and recall computed against silver labels, which may shift under gold. The Label-Shift Stress Test (§VIII.D.C) is a simulated sensitivity probe — the relabeled strong_action samples are </w:t>
      </w:r>
      <w:r>
        <w:rPr>
          <w:i/>
        </w:rPr>
        <w:t xml:space="preserve">not</w:t>
      </w:r>
      <w:r>
        <w:t xml:space="preserve"> gold data, and the 50% retention result has a Δ 95% CI that crosses zero and must not be reported as a robust pass. None of these checks validate absolute numbers or substitute for the §VII gold adjudication.</w:t>
      </w:r>
    </w:p>
    <w:p>
      <w:r>
        <w:t xml:space="preserve">Additional practical limitations: (a) small dataset (444 pairs, ~16 test per seed); (b) single-run LLM comparison with no variance estimate; (c) GPT-5.5 accessed via third-party proxy, not official OpenAI API; (d) cross-domain generalization is not confirmed beyond the six SimClaim domains; (e) LLM judge results are labeled "small-sample controlled evaluation, N ≤ 200" and are never merged with SimClaim main results or claimed as gold standard.</w:t>
      </w:r>
    </w:p>
    <w:p>
      <w:r>
        <w:t xml:space="preserve">These limitations bound the strength of the claims — they do not invalidate the framework. The contribution is a falsifiable framework, a frozen main method whose numeric claims are constrained by the paper-ready result pack, and a protocol-locked validation mechanism — positioned as a screening-oriented complement to LLM judges rather than a competitive replacement.</w:t>
      </w:r>
    </w:p>
    <w:p>
      <w:pPr>
        <w:pStyle w:val="Heading2"/>
      </w:pPr>
      <w:r>
        <w:t xml:space="preserve">X. Conclusion</w:t>
      </w:r>
    </w:p>
    <w:p>
      <w:r>
        <w:t xml:space="preserve">This work frames CESE-OCN as an </w:t>
      </w:r>
      <w:r>
        <w:rPr>
          <w:b/>
        </w:rPr>
        <w:t xml:space="preserve">evidence sufficiency calibration</w:t>
      </w:r>
      <w:r>
        <w:t xml:space="preserve"> framework, rather than a generic claim verification system. The core thesis is that scientific claim verification should not only ask whether evidence is related to a claim, but whether the evidence is </w:t>
      </w:r>
      <w:r>
        <w:rPr>
          <w:i/>
        </w:rPr>
        <w:t xml:space="preserve">sufficient for the strength of the claim</w:t>
      </w:r>
      <w:r>
        <w:t xml:space="preserve"> — in particular when the claim asserts action, deployment, safety, or generalization conclusions.</w:t>
      </w:r>
    </w:p>
    <w:p>
      <w:r>
        <w:t xml:space="preserve">On the controlled silver-stage evaluation, the frozen R4 conservative strong router provides targeted value for </w:t>
      </w:r>
      <w:r>
        <w:rPr>
          <w:b/>
        </w:rPr>
        <w:t xml:space="preserve">strong_action_overclaim</w:t>
      </w:r>
      <w:r>
        <w:t xml:space="preserve">: it improves strong-action positive-F1 from 0.2408 to 0.3967 (+0.1559, CI [0.1058, 0.1988], 10/10 seeds positive) on the silver-label pilot set, while preserving contradiction and escalation performance. On matched-sample LLM judge comparisons, under the tested prompts, both GPT-5.5 (standard and structured) and DeepSeek-V3 under-detect strong_action_overclaim (strong_F1 = 0.0769, recall 0.04 = 1/25), while R4 achieves strong_F1 = 0.3000 (absolute gap +0.2231) on the same samples. This structured 5-step decomposition prompt design does not improve strong_action detection, suggesting that this prompt-engineering approach alone does not fix the under-detection pattern under the tested setting.</w:t>
      </w:r>
    </w:p>
    <w:p>
      <w:r>
        <w:rPr>
          <w:b/>
        </w:rPr>
        <w:t xml:space="preserve">R4 is positioned as a screening-oriented complement to black-box LLM judges, not a replacement.</w:t>
      </w:r>
      <w:r>
        <w:t xml:space="preserve"> On the controlled silver-stage evaluation, LLM judges retain substantially higher overall macro-F1 (GPT-5.5: 0.5523 vs. R4: 0.3280 on matched 100) and contradiction-F1; R4 targets the specific high-risk boundary class they miss under the tested prompts, at the cost of lower macro-F1. The external transferability probe on SciFact and VitaminC shows R4-compatible methods run on public data but underperform NLI cross-encoders on generic support/refutation; public data cannot test the four-class evidence-sufficiency taxonomy.</w:t>
      </w:r>
    </w:p>
    <w:p>
      <w:r>
        <w:t xml:space="preserve">The result is </w:t>
      </w:r>
      <w:r>
        <w:rPr>
          <w:b/>
        </w:rPr>
        <w:t xml:space="preserve">validation-pending</w:t>
      </w:r>
      <w:r>
        <w:t xml:space="preserve">. The author sanity audit flags 62.5% of silver labels as questionable or unclear, reinforcing that the pre-registered gold adjudication (§VII) is the protocol-locked mechanism that determines whether the LLM under-detection finding is treated as established. The paper is reported with clear silver-label boundaries, without claims of final benchmark readiness, and without claims that R4 outperforms LLM judges overall. R4 provides targeted value for strong_action_overclaim detection and evidence sufficiency calibration — as a screening-oriented complement to LLM judges, not a replacement. </w:t>
      </w:r>
      <w:r>
        <w:rPr>
          <w:b/>
        </w:rPr>
        <w:t xml:space="preserve">The controlled silver-stage evidence motivates the protocol-locked gold validation rather than replacing it.</w:t>
      </w:r>
    </w:p>
    <w:p>
      <w:pPr>
        <w:pStyle w:val="Heading2"/>
      </w:pPr>
      <w:r>
        <w:t xml:space="preserve">Appendix A. Case Studies</w:t>
      </w:r>
    </w:p>
    <w:p>
      <w:r>
        <w:t xml:space="preserve">See `appendix_case_studies_v3_6_clean.md` for 8 detailed case studies: 4 trusted cases (one per class) and 4 boundary cases (mild vs. strong, strong vs. contradiction, supported vs. mild / evidence-context-missing, claim-too-abstract). All 8 cases have traceable candidate_ids in `strict_silver_max_candidates_v1.csv`. Boundary cases are used to illustrate task difficulty, not to support strong claims. The V3.6 appendix replaced V3.5 T2 (TCB_008, problematic number inflation) with SBV2-ALL92-G170-C02 (clean scope expansion), and replaced V3.5 B4 (placeholder with no real candidate_id) with HRC_001 = SBV2-ALL92-G003-STRONG (real case, claim_too_abstract root_cause) — see `case_integrity_audit.csv` for the full audit.</w:t>
      </w:r>
    </w:p>
    <w:p>
      <w:pPr>
        <w:pStyle w:val="Heading2"/>
      </w:pPr>
      <w:r>
        <w:t xml:space="preserve">Appendix B. Language Guardrails</w:t>
      </w:r>
    </w:p>
    <w:p>
      <w:pPr>
        <w:pStyle w:val="Heading3"/>
      </w:pPr>
      <w:r>
        <w:t xml:space="preserve">Safe claims (allowed in the paper):</w:t>
      </w:r>
    </w:p>
    <w:p>
      <w:pPr>
        <w:pStyle w:val="ListBullet"/>
      </w:pPr>
      <w:r>
        <w:t xml:space="preserve">"On the controlled silver-stage evaluation, R4 improves strong-action positive-F1 from 0.2408 to 0.3967 while preserving contradiction and escalation performance."</w:t>
      </w:r>
    </w:p>
    <w:p>
      <w:pPr>
        <w:pStyle w:val="ListBullet"/>
      </w:pPr>
      <w:r>
        <w:t xml:space="preserve">"On the controlled silver-stage evaluation, the conservative-strong router yields a strong-action positive-F1 delta of +0.1559 (CI [0.1058, 0.1988], 10/10 seeds positive)."</w:t>
      </w:r>
    </w:p>
    <w:p>
      <w:pPr>
        <w:pStyle w:val="ListBullet"/>
      </w:pPr>
      <w:r>
        <w:t xml:space="preserve">"Under the tested prompts, generic LLM judges (GPT-5.5, DeepSeek-V3) under-detect strong_action_overclaim on the controlled silver-stage evaluation — a validation-pending finding."</w:t>
      </w:r>
    </w:p>
    <w:p>
      <w:pPr>
        <w:pStyle w:val="ListBullet"/>
      </w:pPr>
      <w:r>
        <w:t xml:space="preserve">"This structured evidence-sufficiency prompt design did not improve strong_action detection under the tested setting; other prompt designs remain untested."</w:t>
      </w:r>
    </w:p>
    <w:p>
      <w:pPr>
        <w:pStyle w:val="ListBullet"/>
      </w:pPr>
      <w:r>
        <w:t xml:space="preserve">"R4 complements black-box LLM judges on the strong_action_overclaim relation, rather than replacing them — pending gold validation."</w:t>
      </w:r>
    </w:p>
    <w:p>
      <w:pPr>
        <w:pStyle w:val="ListBullet"/>
      </w:pPr>
      <w:r>
        <w:t xml:space="preserve">"R4's macro-F1 is substantially lower than LLM judges (0.3280 vs. 0.5523 on matched 100); R4 is a screening-oriented complement, not a general-purpose classifier."</w:t>
      </w:r>
    </w:p>
    <w:p>
      <w:pPr>
        <w:pStyle w:val="ListBullet"/>
      </w:pPr>
      <w:r>
        <w:t xml:space="preserve">"Evidence sufficiency rather than generic factuality is the target of this framework."</w:t>
      </w:r>
    </w:p>
    <w:p>
      <w:pPr>
        <w:pStyle w:val="ListBullet"/>
      </w:pPr>
      <w:r>
        <w:t xml:space="preserve">"The author sanity audit flags 62.5% of silver labels as questionable or unclear; the pre-registered gold adjudication (§VII) is the protocol-locked validation mechanism."</w:t>
      </w:r>
    </w:p>
    <w:p>
      <w:pPr>
        <w:pStyle w:val="ListBullet"/>
      </w:pPr>
      <w:r>
        <w:t xml:space="preserve">"The framework is positioned as a controlled silver-stage action-overclaim diagnostic with a protocol-locked validation mechanism."</w:t>
      </w:r>
    </w:p>
    <w:p>
      <w:pPr>
        <w:pStyle w:val="ListBullet"/>
      </w:pPr>
      <w:r>
        <w:t xml:space="preserve">"The controlled silver-stage evidence motivates the protocol-locked gold validation rather than replacing it."</w:t>
      </w:r>
    </w:p>
    <w:p>
      <w:pPr>
        <w:pStyle w:val="Heading3"/>
      </w:pPr>
      <w:r>
        <w:t xml:space="preserve">Forbidden claims (must NOT appear in the paper):</w:t>
      </w:r>
    </w:p>
    <w:p>
      <w:pPr>
        <w:pStyle w:val="ListBullet"/>
      </w:pPr>
      <w:r>
        <w:t xml:space="preserve">"We solve scientific claim calibration." / "Our model fully handles strong action overclaims."</w:t>
      </w:r>
    </w:p>
    <w:p>
      <w:pPr>
        <w:pStyle w:val="ListBullet"/>
      </w:pPr>
      <w:r>
        <w:t xml:space="preserve">"Our labels are gold / human-audited." / "GPT can be used as gold label."</w:t>
      </w:r>
    </w:p>
    <w:p>
      <w:pPr>
        <w:pStyle w:val="ListBullet"/>
      </w:pPr>
      <w:r>
        <w:t xml:space="preserve">"Proves LLMs cannot detect strong_action_overclaim." / "All LLMs are bad at this task."</w:t>
      </w:r>
    </w:p>
    <w:p>
      <w:pPr>
        <w:pStyle w:val="ListBullet"/>
      </w:pPr>
      <w:r>
        <w:t xml:space="preserve">"Established LLM blind spot." (use "under-detection pattern observed under the tested prompts, validation-pending" instead)</w:t>
      </w:r>
    </w:p>
    <w:p>
      <w:pPr>
        <w:pStyle w:val="ListBullet"/>
      </w:pPr>
      <w:r>
        <w:t xml:space="preserve">"Validated taxonomy." (use "frozen taxonomy pending protocol-locked gold validation" instead)</w:t>
      </w:r>
    </w:p>
    <w:p>
      <w:pPr>
        <w:pStyle w:val="ListBullet"/>
      </w:pPr>
      <w:r>
        <w:t xml:space="preserve">"Final proof." (use "controlled silver-stage evidence" instead)</w:t>
      </w:r>
    </w:p>
    <w:p>
      <w:pPr>
        <w:pStyle w:val="ListBullet"/>
      </w:pPr>
      <w:r>
        <w:t xml:space="preserve">"Gold benchmark." (use "controlled silver-stage diagnostic" instead)</w:t>
      </w:r>
    </w:p>
    <w:p>
      <w:pPr>
        <w:pStyle w:val="ListBullet"/>
      </w:pPr>
      <w:r>
        <w:t xml:space="preserve">"R4 outperforms GPT overall." / "R4 is stronger than LLMs on all metrics."</w:t>
      </w:r>
    </w:p>
    <w:p>
      <w:pPr>
        <w:pStyle w:val="ListBullet"/>
      </w:pPr>
      <w:r>
        <w:t xml:space="preserve">"Cost-sensitive cw4.0 is the new main method."</w:t>
      </w:r>
    </w:p>
    <w:p>
      <w:pPr>
        <w:pStyle w:val="ListBullet"/>
      </w:pPr>
      <w:r>
        <w:t xml:space="preserve">"CESE-OCN outperforms strong baselines on a final benchmark."</w:t>
      </w:r>
    </w:p>
    <w:p>
      <w:pPr>
        <w:pStyle w:val="ListBullet"/>
      </w:pPr>
      <w:r>
        <w:t xml:space="preserve">"The framework is validated for deployment." / "All four classes are well-calibrated."</w:t>
      </w:r>
    </w:p>
    <w:p>
      <w:pPr>
        <w:pStyle w:val="ListBullet"/>
      </w:pPr>
      <w:r>
        <w:t xml:space="preserve">"supported_vs_mild boundary is resolved." / "Cross-domain generalization is confirmed."</w:t>
      </w:r>
    </w:p>
    <w:p>
      <w:pPr>
        <w:pStyle w:val="ListBullet"/>
      </w:pPr>
      <w:r>
        <w:t xml:space="preserve">"SOTA / state-of-the-art." / "Fully solved."</w:t>
      </w:r>
    </w:p>
    <w:p>
      <w:pPr>
        <w:pStyle w:val="ListBullet"/>
      </w:pPr>
      <w:r>
        <w:t xml:space="preserve">"Systematic blind spot" (use "under-detection pattern observed under the tested prompts" instead).</w:t>
      </w:r>
    </w:p>
    <w:p>
      <w:pPr>
        <w:pStyle w:val="ListBullet"/>
      </w:pPr>
      <w:r>
        <w:t xml:space="preserve">"Submission-ready / final benchmark complete." (this is a framework-level contribution with a protocol-locked validation mechanism; gold validation is planned but not completed)</w:t>
      </w:r>
    </w:p>
    <w:p>
      <w:pPr>
        <w:pStyle w:val="ListBullet"/>
      </w:pPr>
      <w:r>
        <w:t xml:space="preserve">"Workshop / pilot-only / low-config positioning." (this is a high-standard framework contribution)</w:t>
      </w:r>
    </w:p>
    <w:p>
      <w:pPr>
        <w:pStyle w:val="Heading3"/>
      </w:pPr>
      <w:r>
        <w:t xml:space="preserve">Preferred language:</w:t>
      </w:r>
    </w:p>
    <w:p>
      <w:pPr>
        <w:pStyle w:val="ListBullet"/>
      </w:pPr>
      <w:r>
        <w:t xml:space="preserve">"under the tested prompts" / "under this tested setting"</w:t>
      </w:r>
    </w:p>
    <w:p>
      <w:pPr>
        <w:pStyle w:val="ListBullet"/>
      </w:pPr>
      <w:r>
        <w:t xml:space="preserve">"on the controlled silver-stage evaluation" / "on the 100 matched samples"</w:t>
      </w:r>
    </w:p>
    <w:p>
      <w:pPr>
        <w:pStyle w:val="ListBullet"/>
      </w:pPr>
      <w:r>
        <w:t xml:space="preserve">"single-run, temperature 0, no variance estimate"</w:t>
      </w:r>
    </w:p>
    <w:p>
      <w:pPr>
        <w:pStyle w:val="ListBullet"/>
      </w:pPr>
      <w:r>
        <w:t xml:space="preserve">"prompt/model/sample specific"</w:t>
      </w:r>
    </w:p>
    <w:p>
      <w:pPr>
        <w:pStyle w:val="ListBullet"/>
      </w:pPr>
      <w:r>
        <w:t xml:space="preserve">"under-detection pattern observed under the tested prompts" (NOT "systematic blind spot", NOT "established")</w:t>
      </w:r>
    </w:p>
    <w:p>
      <w:pPr>
        <w:pStyle w:val="ListBullet"/>
      </w:pPr>
      <w:r>
        <w:t xml:space="preserve">"on the controlled silver-stage evaluation" / "AI-preannotated, author-screened labels"</w:t>
      </w:r>
    </w:p>
    <w:p>
      <w:pPr>
        <w:pStyle w:val="ListBullet"/>
      </w:pPr>
      <w:r>
        <w:t xml:space="preserve">"framework-level contribution" / "validation-pending"</w:t>
      </w:r>
    </w:p>
    <w:p>
      <w:pPr>
        <w:pStyle w:val="ListBullet"/>
      </w:pPr>
      <w:r>
        <w:t xml:space="preserve">"suggests" / "is consistent with" / "does not support"</w:t>
      </w:r>
    </w:p>
    <w:p>
      <w:pPr>
        <w:pStyle w:val="ListBullet"/>
      </w:pPr>
      <w:r>
        <w:t xml:space="preserve">"screening-oriented complement to black-box LLM judges"</w:t>
      </w:r>
    </w:p>
    <w:p>
      <w:pPr>
        <w:pStyle w:val="ListBullet"/>
      </w:pPr>
      <w:r>
        <w:t xml:space="preserve">"protocol-locked validation mechanism" / "pre-registered adjudication"</w:t>
      </w:r>
    </w:p>
    <w:p>
      <w:pPr>
        <w:pStyle w:val="ListBullet"/>
      </w:pPr>
      <w:r>
        <w:t xml:space="preserve">"high-risk boundary class" / "controlled silver-stage evidence"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8"/>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spacing w:before="200" w:after="60"/>
      <w:outlineLvl w:val="3"/>
    </w:pPr>
    <w:rPr>
      <w:b/>
      <w:sz w:val="22"/>
    </w:rPr>
  </w:style>
  <w:style w:type="paragraph" w:styleId="ListBullet">
    <w:name w:val="List Bullet"/>
    <w:basedOn w:val="Normal"/>
    <w:qFormat/>
    <w:pPr>
      <w:numPr>
        <w:ilvl w:val="0"/>
        <w:numId w:val="1"/>
      </w:numPr>
      <w:spacing w:after="80"/>
    </w:pPr>
  </w:style>
  <w:style w:type="paragraph" w:styleId="ListNumber">
    <w:name w:val="List Number"/>
    <w:basedOn w:val="Normal"/>
    <w:qFormat/>
    <w:pPr>
      <w:numPr>
        <w:ilvl w:val="0"/>
        <w:numId w:val="2"/>
      </w:numPr>
      <w:spacing w:after="80"/>
    </w:pPr>
  </w:style>
  <w:style w:type="paragraph" w:styleId="TableCell">
    <w:name w:val="Table Cell"/>
    <w:basedOn w:val="Normal"/>
    <w:pPr>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