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V3.12 With Three Credibility Checks (validation-pending, protocol-locked)</w:t>
      </w:r>
    </w:p>
    <w:p>
      <w:r>
        <w:rPr>
          <w:b/>
        </w:rPr>
        <w:t xml:space="preserve">Date:</w:t>
      </w:r>
      <w:r>
        <w:t xml:space="preserve"> 2026-07-04</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V3.11:</w:t>
      </w:r>
      <w:r>
        <w:t xml:space="preserve"> Insertion of three non-gold credibility checks (§VIII.D) — Evidence Necessity Check, Screening Utility Test, and Label-Shift Stress Test — based on already-existing data, predictions, and scores. </w:t>
      </w:r>
      <w:r>
        <w:rPr>
          <w:b/>
        </w:rPr>
        <w:t xml:space="preserve">No new experiments, no API calls, no gold annotation, no new model training, no threshold retuning, no change to any experimental number, no change to the frozen R4 method, no change to the taxonomy boundary rules.</w:t>
      </w:r>
      <w:r>
        <w:t xml:space="preserve">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We formulate this as a distinct task, </w:t>
      </w:r>
      <w:r>
        <w:rPr>
          <w:b/>
        </w:rPr>
        <w:t xml:space="preserve">evidence sufficiency calibration</w:t>
      </w:r>
      <w:r>
        <w:t xml:space="preserve">, and define a </w:t>
      </w:r>
      <w:r>
        <w:rPr>
          <w:b/>
        </w:rPr>
        <w:t xml:space="preserve">four-class taxonomy</w:t>
      </w:r>
      <w:r>
        <w:t xml:space="preserve">: supported, mild_scope_overclaim, strong_action_overclaim, and contradiction_candidate. We construct </w:t>
      </w:r>
      <w:r>
        <w:rPr>
          <w:b/>
        </w:rPr>
        <w:t xml:space="preserve">SimClaim</w:t>
      </w:r>
      <w:r>
        <w:t xml:space="preserve">, a controlled diagnostic benchmark of 444 claim–evidence pairs across 111 evidence groups and six domains, with AI-preannotated and author-screened silver labels. We propose </w:t>
      </w:r>
      <w:r>
        <w:rPr>
          <w:b/>
        </w:rPr>
        <w:t xml:space="preserve">CESE-OCN/R4</w:t>
      </w:r>
      <w:r>
        <w:t xml:space="preserve">, a structured evidence-relation screening framework that complements generic LLM/NLI judges via a contradiction detector, a scope-calibration residual classifier, and a conservative strong-action escalation route. On the controlled silver-stage evaluation, R4 improves strong_action positive-F1 from 0.2408 to 0.3967 while preserving contradiction performance; under the tested prompts, generic LLM judges (GPT-5.5, DeepSeek-V3) systematically under-detect strong_action_overclaim (strong-F1 = 0.0769, recall 0.04), while R4 reaches strong-F1 = 0.3000 on matched samples — at the cost of lower overall macro-F1 (0.3280 vs. 0.5523), positioning R4 as a screening-oriented complement, not a replacement. A </w:t>
      </w:r>
      <w:r>
        <w:rPr>
          <w:b/>
        </w:rPr>
        <w:t xml:space="preserve">pre-registered gold adjudication protocol</w:t>
      </w:r>
      <w:r>
        <w:t xml:space="preserve"> (§VII) with frozen success and downgrade criteria is specified to validate the taxonomy and the strong_action retention pattern; gold results are inserted into Tables G1–G3 without restructuring the paper. We further report three non-gold credibility checks (§VIII.D) testing evidence necessity, screening utility, and sensitivity to simulated strong-label shift. The contribution is framework-level and taxonomy-level: a falsifiable evidence-sufficiency calibration framework with a frozen, protocol-locked validation mechanism.</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systematically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five contributions</w:t>
      </w:r>
      <w:r>
        <w:t xml:space="preserve">:</w:t>
      </w:r>
    </w:p>
    <w:p>
      <w:pPr>
        <w:pStyle w:val="ListNumber"/>
      </w:pPr>
      <w:r>
        <w:rPr>
          <w:b/>
        </w:rPr>
        <w:t xml:space="preserve">Problem formulation.</w:t>
      </w:r>
      <w:r>
        <w:t xml:space="preserve"> We formulate </w:t>
      </w:r>
      <w:r>
        <w:rPr>
          <w:b/>
        </w:rPr>
        <w:t xml:space="preserve">evidence sufficiency calibration</w:t>
      </w:r>
      <w:r>
        <w:t xml:space="preserve"> as a task distinct from support/refute/NEI verification: given a scientific claim and evidence, judge whether the evidence is sufficient for the </w:t>
      </w:r>
      <w:r>
        <w:rPr>
          <w:i/>
        </w:rPr>
        <w:t xml:space="preserve">strength</w:t>
      </w:r>
      <w:r>
        <w:t xml:space="preserve"> of the claim — its scope, action framing, deployment implications, safety conclusions, and generalization breadth — not merely whether the evidence is topically related.</w:t>
      </w:r>
    </w:p>
    <w:p>
      <w:pPr>
        <w:pStyle w:val="ListNumber"/>
      </w:pPr>
      <w:r>
        <w:rPr>
          <w:b/>
        </w:rPr>
        <w:t xml:space="preserve">Four-class taxonomy.</w:t>
      </w:r>
      <w:r>
        <w:t xml:space="preserve"> We define a </w:t>
      </w:r>
      <w:r>
        <w:rPr>
          <w:b/>
        </w:rPr>
        <w:t xml:space="preserve">four-class taxonomy</w:t>
      </w:r>
      <w:r>
        <w:t xml:space="preserve"> for scientific claim calibration — supported, mild_scope_overclaim, strong_action_overclaim, contradiction_candidate — with an operational decision tree (Figure 2), concrete examples (Table 0), and explicit boundary rules. The separability of strong_action_overclaim as a reliably drawable class is a hypothesis tested by the pre-registered gold adjudication (§VII), not an assumption taken as already proven.</w:t>
      </w:r>
    </w:p>
    <w:p>
      <w:pPr>
        <w:pStyle w:val="ListNumber"/>
      </w:pPr>
      <w:r>
        <w:rPr>
          <w:b/>
        </w:rPr>
        <w:t xml:space="preserve">Controlled diagnostic benchmark.</w:t>
      </w:r>
      <w:r>
        <w:t xml:space="preserve"> We construct </w:t>
      </w:r>
      <w:r>
        <w:rPr>
          <w:b/>
        </w:rPr>
        <w:t xml:space="preserve">SimClaim</w:t>
      </w:r>
      <w:r>
        <w:t xml:space="preserve">, a controlled silver-stage diagnostic benchmark of 444 claim–evidence pairs across 111 evidence groups and six domains, with AI-preannotated and author-screened labels, group-aware splits, an author sanity audit (40 cases), and a frozen high-risk sample bank for gold adjudication priority.</w:t>
      </w:r>
    </w:p>
    <w:p>
      <w:pPr>
        <w:pStyle w:val="ListNumber"/>
      </w:pPr>
      <w:r>
        <w:rPr>
          <w:b/>
        </w:rPr>
        <w:t xml:space="preserve">Structured screening framework.</w:t>
      </w:r>
      <w:r>
        <w:t xml:space="preserve"> We propose </w:t>
      </w:r>
      <w:r>
        <w:rPr>
          <w:b/>
        </w:rPr>
        <w:t xml:space="preserve">CESE-OCN/R4</w:t>
      </w:r>
      <w:r>
        <w:t xml:space="preserve">, a structured evidence-relation screening framework that complements black-box LLM judges via relation-specific routing — a contradiction detector, a scope-calibration residual classifier, and a conservative strong-action escalation route — with frozen thresholds and explicit acknowledgment that R4 sacrifices overall macro-F1 for targeted strong_action recall.</w:t>
      </w:r>
    </w:p>
    <w:p>
      <w:pPr>
        <w:pStyle w:val="ListNumber"/>
      </w:pPr>
      <w:r>
        <w:rPr>
          <w:b/>
        </w:rPr>
        <w:t xml:space="preserve">Controlled silver-stage evidence and pre-registered validation.</w:t>
      </w:r>
      <w:r>
        <w:t xml:space="preserve"> We report controlled silver-stage evidence that, under the tested prompts, LLM judges under-detect strong_action_overclaim while R4 provides complementary screening signal, and we </w:t>
      </w:r>
      <w:r>
        <w:rPr>
          <w:b/>
        </w:rPr>
        <w:t xml:space="preserve">pre-register a gold adjudication protocol</w:t>
      </w:r>
      <w:r>
        <w:t xml:space="preserve"> (§VII) with frozen success and downgrade criteria — a protocol-locked validation mechanism, not a post-hoc tuning loop — to determine whether the silver-stage patterns are treated as validated.</w:t>
      </w:r>
    </w:p>
    <w:p>
      <w:r>
        <w:t xml:space="preserve">The remainder of the paper is organized as follows: §II positions the work; §III formulates the task and provides taxonomy examples (Table 0) and the decision tree (Figure 2); §IV describes the CESE-OCN/R4 framework (Figure 1); §V describes the data and protocol; §VI reports controlled silver-stage results (Figure 3, Tables 1–3); </w:t>
      </w:r>
      <w:r>
        <w:rPr>
          <w:b/>
        </w:rPr>
        <w:t xml:space="preserve">§VII specifies the pre-registered gold validation protocol, including placeholder Tables G1–G3 and frozen success/downgrade criteria</w:t>
      </w:r>
      <w:r>
        <w:t xml:space="preserve">; §VIII discusses implications, including three non-gold credibility checks (§VIII.D) that test evidence necessity, screening utility, and label-shift robustness before gold adjudication;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controlled silver-stage evidence suggests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w:t>
      </w:r>
      <w:r>
        <w:t xml:space="preserve">: an evidence-sufficiency calibration framework with a relation-specific router, a controlled diagnostic benchmark, and a protocol-locked validation mechanism. It is not a final public benchmark, not a human-gold evaluation, and not a claim that all four classes are solved. All LLM comparison results are labeled as small-sample controlled evaluation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High-Risk Boundary Class</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controlled silver-stage evidence is consistent with this: contradiction is comparatively well captured by NLI-style evidence signals (on the controlled silver-stage evaluation,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w:t>
      </w:r>
    </w:p>
    <w:p>
      <w:r>
        <w:t xml:space="preserve">The strongest controlled silver-stage result is that </w:t>
      </w:r>
      <w:r>
        <w:rPr>
          <w:b/>
        </w:rPr>
        <w:t xml:space="preserve">on the controlled silver-stage evaluation</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the controlled silver-stage evaluation.</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screening signal on the high-risk boundary class,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Robustness and Credibility Checks Before Gold Adjudication</w:t>
      </w:r>
    </w:p>
    <w:p>
      <w:r>
        <w:rPr>
          <w:b/>
        </w:rPr>
        <w:t xml:space="preserve">These checks are non-gold robustness analyses. They do not replace gold adjudication (§VII).</w:t>
      </w:r>
      <w:r>
        <w:t xml:space="preserve">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w:t>
      </w:r>
      <w:r>
        <w:rPr>
          <w:i/>
        </w:rPr>
        <w:t xml:space="preserve">relative</w:t>
      </w:r>
      <w:r>
        <w:t xml:space="preserve"> pattern (R4 &gt; LLM on strong_action); they do not validate absolute numbers, which remain silver-stage pending §VII.</w:t>
      </w:r>
    </w:p>
    <w:p>
      <w:pPr>
        <w:pStyle w:val="Heading4"/>
      </w:pPr>
      <w:r>
        <w:t xml:space="preserve">A. Evidence Necessity Check</w:t>
      </w:r>
    </w:p>
    <w:p>
      <w:r>
        <w:t xml:space="preserve">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r>
        <w:t xml:space="preserve">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r>
        <w:t xml:space="preserve">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r>
        <w:rPr>
          <w:b/>
        </w:rPr>
        <w:t xml:space="preserve">Interpretation.</w:t>
      </w:r>
      <w:r>
        <w:t xml:space="preserve"> The evidence perturbation results </w:t>
      </w:r>
      <w:r>
        <w:rPr>
          <w:i/>
        </w:rPr>
        <w:t xml:space="preserve">suggest</w:t>
      </w:r>
      <w:r>
        <w:t xml:space="preserve"> the task is evidence-sensitive and that the method responds to evidence content. We do </w:t>
      </w:r>
      <w:r>
        <w:rPr>
          <w:i/>
        </w:rPr>
        <w:t xml:space="preserve">not</w:t>
      </w:r>
      <w:r>
        <w:t xml:space="preserve">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Pr>
        <w:pStyle w:val="Heading4"/>
      </w:pPr>
      <w:r>
        <w:t xml:space="preserve">B. Screening Utility Test</w:t>
      </w:r>
    </w:p>
    <w:p>
      <w:r>
        <w:t xml:space="preserve">This check tests whether R4 is useful as a screening-oriented complement for strong_action_overclaim, despite its lower overall macro-F1. Using frozen R4 predictions on the matched-100 set (25 true strong_action samples):</w:t>
      </w:r>
    </w:p>
    <w:p>
      <w:pPr>
        <w:pStyle w:val="ListBullet"/>
      </w:pPr>
      <w:r>
        <w:t xml:space="preserve">R4 predicted strong = 35; TP = 9; FP = 26; FN = 16.</w:t>
      </w:r>
    </w:p>
    <w:p>
      <w:pPr>
        <w:pStyle w:val="ListBullet"/>
      </w:pPr>
      <w:r>
        <w:t xml:space="preserve">Precision = 0.257; recall = 0.360; positive-F1 = 0.300.</w:t>
      </w:r>
    </w:p>
    <w:p>
      <w:pPr>
        <w:pStyle w:val="ListBullet"/>
      </w:pPr>
      <w:r>
        <w:t xml:space="preserve">FP/TP ratio = 2.89, below the pre-registered threshold of 10 (§VII.G).</w:t>
      </w:r>
    </w:p>
    <w:p>
      <w:pPr>
        <w:pStyle w:val="ListBullet"/>
      </w:pPr>
      <w:r>
        <w:t xml:space="preserve">Review burden = 35.0% (a human reviewer would need to check 35 of 100 samples).</w:t>
      </w:r>
    </w:p>
    <w:p>
      <w:pPr>
        <w:pStyle w:val="ListBullet"/>
      </w:pPr>
      <w:r>
        <w:t xml:space="preserve">R4 captures 8 strong_action cases that both tested LLM judges missed on the same matched-100 set.</w:t>
      </w:r>
    </w:p>
    <w:p>
      <w:r>
        <w:t xml:space="preserve">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r>
        <w:rPr>
          <w:b/>
        </w:rPr>
        <w:t xml:space="preserve">Interpretation.</w:t>
      </w:r>
      <w:r>
        <w:t xml:space="preserve"> R4 provides targeted recall-improving screening signal for strong_action_overclaim: it captures 8 cases the tested LLM judges missed, at an FP/TP ratio of 2.89 (below the pre-registered screening threshold). R4 is </w:t>
      </w:r>
      <w:r>
        <w:rPr>
          <w:i/>
        </w:rPr>
        <w:t xml:space="preserve">not</w:t>
      </w:r>
      <w:r>
        <w:t xml:space="preserve"> a final automatic labeler — the 26 false positives require human or LLM-assisted adjudication, which is exactly the gold validation protocol in §VII. We do </w:t>
      </w:r>
      <w:r>
        <w:rPr>
          <w:i/>
        </w:rPr>
        <w:t xml:space="preserve">not</w:t>
      </w:r>
      <w:r>
        <w:t xml:space="preserve">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Pr>
        <w:pStyle w:val="Heading4"/>
      </w:pPr>
      <w:r>
        <w:t xml:space="preserve">C. Label-Shift Stress Test</w:t>
      </w:r>
    </w:p>
    <w:p>
      <w:r>
        <w:t xml:space="preserve">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tblGrid>
      <w:tr>
        <w:tc>
          <w:tcPr>
            <w:tcW w:w="2000" w:type="dxa"/>
          </w:tcPr>
          <w:p>
            <w:pPr>
              <w:pStyle w:val="TableCell"/>
            </w:pPr>
            <w:r>
              <w:rPr>
                <w:b/>
              </w:rPr>
              <w:t xml:space="preserve">Retention</w:t>
            </w:r>
          </w:p>
        </w:tc>
        <w:tc>
          <w:tcPr>
            <w:tcW w:w="2000" w:type="dxa"/>
          </w:tcPr>
          <w:p>
            <w:pPr>
              <w:pStyle w:val="TableCell"/>
            </w:pPr>
            <w:r>
              <w:rPr>
                <w:b/>
              </w:rPr>
              <w:t xml:space="preserve">R4 F1 (mean, 95% CI)</w:t>
            </w:r>
          </w:p>
        </w:tc>
        <w:tc>
          <w:tcPr>
            <w:tcW w:w="2000" w:type="dxa"/>
          </w:tcPr>
          <w:p>
            <w:pPr>
              <w:pStyle w:val="TableCell"/>
            </w:pPr>
            <w:r>
              <w:rPr>
                <w:b/>
              </w:rPr>
              <w:t xml:space="preserve">LLM F1 (mean)</w:t>
            </w:r>
          </w:p>
        </w:tc>
        <w:tc>
          <w:tcPr>
            <w:tcW w:w="2000" w:type="dxa"/>
          </w:tcPr>
          <w:p>
            <w:pPr>
              <w:pStyle w:val="TableCell"/>
            </w:pPr>
            <w:r>
              <w:rPr>
                <w:b/>
              </w:rPr>
              <w:t xml:space="preserve">Δ(R4−LLM)</w:t>
            </w:r>
          </w:p>
        </w:tc>
        <w:tc>
          <w:tcPr>
            <w:tcW w:w="2000" w:type="dxa"/>
          </w:tcPr>
          <w:p>
            <w:pPr>
              <w:pStyle w:val="TableCell"/>
            </w:pPr>
            <w:r>
              <w:rPr>
                <w:b/>
              </w:rPr>
              <w:t xml:space="preserve">Δ 95% CI</w:t>
            </w:r>
          </w:p>
        </w:tc>
        <w:tc>
          <w:tcPr>
            <w:tcW w:w="2000" w:type="dxa"/>
          </w:tcPr>
          <w:p>
            <w:pPr>
              <w:pStyle w:val="TableCell"/>
            </w:pPr>
            <w:r>
              <w:rPr>
                <w:b/>
              </w:rPr>
              <w:t xml:space="preserve">R4 wins %</w:t>
            </w:r>
          </w:p>
        </w:tc>
        <w:tc>
          <w:tcPr>
            <w:tcW w:w="2000" w:type="dxa"/>
          </w:tcPr>
          <w:p>
            <w:pPr>
              <w:pStyle w:val="TableCell"/>
            </w:pPr>
            <w:r>
              <w:rPr>
                <w:b/>
              </w:rPr>
              <w:t xml:space="preserve">Statistical strength</w:t>
            </w:r>
          </w:p>
        </w:tc>
      </w:tr>
      <w:tr>
        <w:tc>
          <w:tcPr>
            <w:tcW w:w="2000" w:type="dxa"/>
          </w:tcPr>
          <w:p>
            <w:pPr>
              <w:pStyle w:val="TableCell"/>
            </w:pPr>
            <w:r>
              <w:t xml:space="preserve">70%</w:t>
            </w:r>
          </w:p>
        </w:tc>
        <w:tc>
          <w:tcPr>
            <w:tcW w:w="2000" w:type="dxa"/>
          </w:tcPr>
          <w:p>
            <w:pPr>
              <w:pStyle w:val="TableCell"/>
            </w:pPr>
            <w:r>
              <w:t xml:space="preserve">0.2451 [0.1509, 0.3028]</w:t>
            </w:r>
          </w:p>
        </w:tc>
        <w:tc>
          <w:tcPr>
            <w:tcW w:w="2000" w:type="dxa"/>
          </w:tcPr>
          <w:p>
            <w:pPr>
              <w:pStyle w:val="TableCell"/>
            </w:pPr>
            <w:r>
              <w:t xml:space="preserve">0.0759</w:t>
            </w:r>
          </w:p>
        </w:tc>
        <w:tc>
          <w:tcPr>
            <w:tcW w:w="2000" w:type="dxa"/>
          </w:tcPr>
          <w:p>
            <w:pPr>
              <w:pStyle w:val="TableCell"/>
            </w:pPr>
            <w:r>
              <w:t xml:space="preserve">+0.1692</w:t>
            </w:r>
          </w:p>
        </w:tc>
        <w:tc>
          <w:tcPr>
            <w:tcW w:w="2000" w:type="dxa"/>
          </w:tcPr>
          <w:p>
            <w:pPr>
              <w:pStyle w:val="TableCell"/>
            </w:pPr>
            <w:r>
              <w:t xml:space="preserve">[+0.083, +0.264]</w:t>
            </w:r>
          </w:p>
        </w:tc>
        <w:tc>
          <w:tcPr>
            <w:tcW w:w="2000" w:type="dxa"/>
          </w:tcPr>
          <w:p>
            <w:pPr>
              <w:pStyle w:val="TableCell"/>
            </w:pPr>
            <w:r>
              <w:t xml:space="preserve">100.0%</w:t>
            </w:r>
          </w:p>
        </w:tc>
        <w:tc>
          <w:tcPr>
            <w:tcW w:w="2000" w:type="dxa"/>
          </w:tcPr>
          <w:p>
            <w:pPr>
              <w:pStyle w:val="TableCell"/>
            </w:pPr>
            <w:r>
              <w:t xml:space="preserve">robust</w:t>
            </w:r>
          </w:p>
        </w:tc>
      </w:tr>
      <w:tr>
        <w:tc>
          <w:tcPr>
            <w:tcW w:w="2000" w:type="dxa"/>
          </w:tcPr>
          <w:p>
            <w:pPr>
              <w:pStyle w:val="TableCell"/>
            </w:pPr>
            <w:r>
              <w:t xml:space="preserve">60%</w:t>
            </w:r>
          </w:p>
        </w:tc>
        <w:tc>
          <w:tcPr>
            <w:tcW w:w="2000" w:type="dxa"/>
          </w:tcPr>
          <w:p>
            <w:pPr>
              <w:pStyle w:val="TableCell"/>
            </w:pPr>
            <w:r>
              <w:t xml:space="preserve">0.2184 [0.1200, 0.3200]</w:t>
            </w:r>
          </w:p>
        </w:tc>
        <w:tc>
          <w:tcPr>
            <w:tcW w:w="2000" w:type="dxa"/>
          </w:tcPr>
          <w:p>
            <w:pPr>
              <w:pStyle w:val="TableCell"/>
            </w:pPr>
            <w:r>
              <w:t xml:space="preserve">0.0776</w:t>
            </w:r>
          </w:p>
        </w:tc>
        <w:tc>
          <w:tcPr>
            <w:tcW w:w="2000" w:type="dxa"/>
          </w:tcPr>
          <w:p>
            <w:pPr>
              <w:pStyle w:val="TableCell"/>
            </w:pPr>
            <w:r>
              <w:t xml:space="preserve">+0.1408</w:t>
            </w:r>
          </w:p>
        </w:tc>
        <w:tc>
          <w:tcPr>
            <w:tcW w:w="2000" w:type="dxa"/>
          </w:tcPr>
          <w:p>
            <w:pPr>
              <w:pStyle w:val="TableCell"/>
            </w:pPr>
            <w:r>
              <w:t xml:space="preserve">[+0.035, +0.280]</w:t>
            </w:r>
          </w:p>
        </w:tc>
        <w:tc>
          <w:tcPr>
            <w:tcW w:w="2000" w:type="dxa"/>
          </w:tcPr>
          <w:p>
            <w:pPr>
              <w:pStyle w:val="TableCell"/>
            </w:pPr>
            <w:r>
              <w:t xml:space="preserve">98.6%</w:t>
            </w:r>
          </w:p>
        </w:tc>
        <w:tc>
          <w:tcPr>
            <w:tcW w:w="2000" w:type="dxa"/>
          </w:tcPr>
          <w:p>
            <w:pPr>
              <w:pStyle w:val="TableCell"/>
            </w:pPr>
            <w:r>
              <w:t xml:space="preserve">marginal-positive (CI lower bound just above 0)</w:t>
            </w:r>
          </w:p>
        </w:tc>
      </w:tr>
      <w:tr>
        <w:tc>
          <w:tcPr>
            <w:tcW w:w="2000" w:type="dxa"/>
          </w:tcPr>
          <w:p>
            <w:pPr>
              <w:pStyle w:val="TableCell"/>
            </w:pPr>
            <w:r>
              <w:t xml:space="preserve">50%</w:t>
            </w:r>
          </w:p>
        </w:tc>
        <w:tc>
          <w:tcPr>
            <w:tcW w:w="2000" w:type="dxa"/>
          </w:tcPr>
          <w:p>
            <w:pPr>
              <w:pStyle w:val="TableCell"/>
            </w:pPr>
            <w:r>
              <w:t xml:space="preserve">0.1843 [0.0851, 0.2979]</w:t>
            </w:r>
          </w:p>
        </w:tc>
        <w:tc>
          <w:tcPr>
            <w:tcW w:w="2000" w:type="dxa"/>
          </w:tcPr>
          <w:p>
            <w:pPr>
              <w:pStyle w:val="TableCell"/>
            </w:pPr>
            <w:r>
              <w:t xml:space="preserve">0.0706</w:t>
            </w:r>
          </w:p>
        </w:tc>
        <w:tc>
          <w:tcPr>
            <w:tcW w:w="2000" w:type="dxa"/>
          </w:tcPr>
          <w:p>
            <w:pPr>
              <w:pStyle w:val="TableCell"/>
            </w:pPr>
            <w:r>
              <w:t xml:space="preserve">+0.1137</w:t>
            </w:r>
          </w:p>
        </w:tc>
        <w:tc>
          <w:tcPr>
            <w:tcW w:w="2000" w:type="dxa"/>
          </w:tcPr>
          <w:p>
            <w:pPr>
              <w:pStyle w:val="TableCell"/>
            </w:pPr>
            <w:r>
              <w:t xml:space="preserve">[−0.026, +0.255]</w:t>
            </w:r>
          </w:p>
        </w:tc>
        <w:tc>
          <w:tcPr>
            <w:tcW w:w="2000" w:type="dxa"/>
          </w:tcPr>
          <w:p>
            <w:pPr>
              <w:pStyle w:val="TableCell"/>
            </w:pPr>
            <w:r>
              <w:t xml:space="preserve">94.2%</w:t>
            </w:r>
          </w:p>
        </w:tc>
        <w:tc>
          <w:tcPr>
            <w:tcW w:w="2000" w:type="dxa"/>
          </w:tcPr>
          <w:p>
            <w:pPr>
              <w:pStyle w:val="TableCell"/>
            </w:pPr>
            <w:r>
              <w:t xml:space="preserve">positive but statistically weaker / CI crosses zero</w:t>
            </w:r>
          </w:p>
        </w:tc>
      </w:tr>
      <w:tr>
        <w:tc>
          <w:tcPr>
            <w:tcW w:w="2000" w:type="dxa"/>
          </w:tcPr>
          <w:p>
            <w:pPr>
              <w:pStyle w:val="TableCell"/>
            </w:pPr>
            <w:r>
              <w:t xml:space="preserve">40%</w:t>
            </w:r>
          </w:p>
        </w:tc>
        <w:tc>
          <w:tcPr>
            <w:tcW w:w="2000" w:type="dxa"/>
          </w:tcPr>
          <w:p>
            <w:pPr>
              <w:pStyle w:val="TableCell"/>
            </w:pPr>
            <w:r>
              <w:t xml:space="preserve">0.1612 [0.0444, 0.2667]</w:t>
            </w:r>
          </w:p>
        </w:tc>
        <w:tc>
          <w:tcPr>
            <w:tcW w:w="2000" w:type="dxa"/>
          </w:tcPr>
          <w:p>
            <w:pPr>
              <w:pStyle w:val="TableCell"/>
            </w:pPr>
            <w:r>
              <w:t xml:space="preserve">0.0776</w:t>
            </w:r>
          </w:p>
        </w:tc>
        <w:tc>
          <w:tcPr>
            <w:tcW w:w="2000" w:type="dxa"/>
          </w:tcPr>
          <w:p>
            <w:pPr>
              <w:pStyle w:val="TableCell"/>
            </w:pPr>
            <w:r>
              <w:t xml:space="preserve">+0.0835</w:t>
            </w:r>
          </w:p>
        </w:tc>
        <w:tc>
          <w:tcPr>
            <w:tcW w:w="2000" w:type="dxa"/>
          </w:tcPr>
          <w:p>
            <w:pPr>
              <w:pStyle w:val="TableCell"/>
            </w:pPr>
            <w:r>
              <w:t xml:space="preserve">[−0.093, +0.222]</w:t>
            </w:r>
          </w:p>
        </w:tc>
        <w:tc>
          <w:tcPr>
            <w:tcW w:w="2000" w:type="dxa"/>
          </w:tcPr>
          <w:p>
            <w:pPr>
              <w:pStyle w:val="TableCell"/>
            </w:pPr>
            <w:r>
              <w:t xml:space="preserve">70.1%</w:t>
            </w:r>
          </w:p>
        </w:tc>
        <w:tc>
          <w:tcPr>
            <w:tcW w:w="2000" w:type="dxa"/>
          </w:tcPr>
          <w:p>
            <w:pPr>
              <w:pStyle w:val="TableCell"/>
            </w:pPr>
            <w:r>
              <w:t xml:space="preserve">not significant (CI crosses zero)</w:t>
            </w:r>
          </w:p>
        </w:tc>
      </w:tr>
    </w:tbl>
    <w:p>
      <w:r>
        <w:t xml:space="preserve">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w:t>
      </w:r>
      <w:r>
        <w:rPr>
          <w:i/>
        </w:rPr>
        <w:t xml:space="preserve">not</w:t>
      </w:r>
      <w:r>
        <w:t xml:space="preserve"> be reported as a robust pass. Below 50% retention, the CI clearly crosses zero and the advantage is not statistically distinguishable from zero.</w:t>
      </w:r>
    </w:p>
    <w:p>
      <w:r>
        <w:t xml:space="preserve">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r>
        <w:rPr>
          <w:b/>
        </w:rPr>
        <w:t xml:space="preserve">Interpretation.</w:t>
      </w:r>
      <w:r>
        <w:t xml:space="preserve">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Pr>
        <w:pStyle w:val="Heading4"/>
      </w:pPr>
      <w:r>
        <w:t xml:space="preserve">Summary of §VIII.D</w:t>
      </w:r>
    </w:p>
    <w:p>
      <w:r>
        <w:t xml:space="preserve">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Pr>
        <w:pStyle w:val="Heading3"/>
      </w:pPr>
      <w:r>
        <w:t xml:space="preserve">E.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Pr>
        <w:pStyle w:val="ListNumber"/>
      </w:pPr>
      <w:r>
        <w:rPr>
          <w:b/>
        </w:rPr>
        <w:t xml:space="preserve">The three credibility checks in §VIII.D are non-gold robustness analyses and do not replace independent gold adjudication.</w:t>
      </w:r>
      <w:r>
        <w:t xml:space="preserve"> The Evidence Necessity Check (§VIII.D.A) uses a pre-existing NLI audit on the same SimClaim backbone but an earlier dataset version, and the TF-IDF sanity check is a surface-level probe; together they </w:t>
      </w:r>
      <w:r>
        <w:rPr>
          <w:i/>
        </w:rPr>
        <w:t xml:space="preserve">suggest</w:t>
      </w:r>
      <w:r>
        <w:t xml:space="preserve">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w:t>
      </w:r>
      <w:r>
        <w:rPr>
          <w:i/>
        </w:rPr>
        <w:t xml:space="preserve">not</w:t>
      </w:r>
      <w:r>
        <w:t xml:space="preserve"> gold data, and the 50% retention result has a Δ 95% CI that crosses zero and must not be reported as a robust pass. None of these checks validate absolute numbers or substitute for the §VII gold adjudication.</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t xml:space="preserve">The result is </w:t>
      </w:r>
      <w:r>
        <w:rPr>
          <w:b/>
        </w:rPr>
        <w:t xml:space="preserve">validation-pending</w:t>
      </w:r>
      <w:r>
        <w:t xml:space="preserve">. The author sanity audit flags 62.5% of silver labels as questionable or unclear, reinforcing that the pre-registered gold adjudication (§VII)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