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Fine-Grained Evidence-Sufficiency Relation Diagnosis for Rare High-Risk Scientific Action Overclaims</w:t>
      </w:r>
    </w:p>
    <w:p>
      <w:r>
        <w:rPr>
          <w:b/>
        </w:rPr>
        <w:t xml:space="preserve">Subtitle:</w:t>
      </w:r>
      <w:r>
        <w:t xml:space="preserve"> A Controlled Counterfactual Diagnostic Study of LLM Under-Detection and Screening-Oriented Routing</w:t>
      </w:r>
    </w:p>
    <w:p>
      <w:r>
        <w:rPr>
          <w:b/>
        </w:rPr>
        <w:t xml:space="preserve">Version:</w:t>
      </w:r>
      <w:r>
        <w:t xml:space="preserve"> V3.13 RIGOURATE-Differentiated + Realism-Aware Revision (validation-pending, protocol-locked)</w:t>
      </w:r>
    </w:p>
    <w:p>
      <w:r>
        <w:rPr>
          <w:b/>
        </w:rPr>
        <w:t xml:space="preserve">Date:</w:t>
      </w:r>
      <w:r>
        <w:t xml:space="preserve"> 2026-07-05</w:t>
      </w:r>
    </w:p>
    <w:p>
      <w:r>
        <w:rPr>
          <w:b/>
        </w:rPr>
        <w:t xml:space="preserve">Status:</w:t>
      </w:r>
      <w:r>
        <w:t xml:space="preserve"> Controlled silver-stage evidence with a pre-registered, protocol-locked gold adjudication mechanism (§VII). All numeric results in §VI are computed on the controlled silver-stage evaluation; the gold validation slots (Tables G1–G3) are designed so that gold results can be inserted without restructuring the paper. The framework, taxonomy, and frozen method are the contribution; the gold adjudication is the validation mechanism, not a pending apology.</w:t>
      </w:r>
    </w:p>
    <w:p>
      <w:r>
        <w:rPr>
          <w:b/>
        </w:rPr>
        <w:t xml:space="preserve">Changes from V3.12.1:</w:t>
      </w:r>
      <w:r>
        <w:t xml:space="preserve"> Differentiation revision against RIGOURATE, ForceBench, and CLAIM-BENCH — positioning, Related Work, contribution list, Abstract, Introduction, Data transparency, Discussion, and gold-realism audit only. </w:t>
      </w:r>
      <w:r>
        <w:rPr>
          <w:b/>
        </w:rPr>
        <w:t xml:space="preserve">No new experiments, no API calls, no gold annotation, no new model training, no threshold retuning, no change to any experimental number, no change to the frozen R4 method, no change to the taxonomy boundary rules, no change to §VI numbers, no change to §VIII.D numbers, no change to the non-gold caveat, no change to the 50% retention caveat, no change to the R4 macro-F1 &lt; LLM fact, no change to the gold-not-done fact.</w:t>
      </w:r>
      <w:r>
        <w:t xml:space="preserve"> The paper is repositioned from "opening a new field of scientific overstatement detection" to "fine-grained relation-type decomposition and high-risk action-overclaim screening on the existing scientific overstatement / evidence-force calibration track". §II adds a new subsection "Relation to Scientific Overstatement and Evidence-Force Calibration" with three paragraphs (RIGOURATE, ForceBench, CLAIM-BENCH) and a new Table X positioning CESE-OCN against these closest related works. The contribution list is condensed from five items to three precise items (taxonomy, diagnostic, screening-method). The Abstract and Introduction are adjusted to acknowledge prior work and remove "first to propose" framing. §V.A adds a synthetic/counterfactual transparency paragraph for SimClaim. §VIII adds a new subsection on why fine-grained relation typing is valuable. §VII adds a gold-realism audit proposal. The standalone file `proposed_gold_realism_extension.md` specifies the proposed realism-score fields. </w:t>
      </w:r>
      <w:r>
        <w:rPr>
          <w:b/>
        </w:rPr>
        <w:t xml:space="preserve">This work does not claim to introduce scientific overstatement detection or evidence sufficiency calibration as a new field; it builds on RIGOURATE [30], the evidence-licensed claims perspective [31], ForceBench [35], and CLAIM-BENCH [28], and focuses on fine-grained relation typing and high-risk action-overclaim screening.</w:t>
      </w:r>
      <w:r>
        <w:t xml:space="preserve"> V3.12.1, V3.12, V3.11, V3.10.1, and V3.9 are preserved unchanged.</w:t>
      </w:r>
    </w:p>
    <w:p>
      <w:r>
        <w:rPr>
          <w:b/>
        </w:rPr>
        <w:t xml:space="preserve">Changes from V3.13 (RIGOURATE-Differentiated, prior release):</w:t>
      </w:r>
      <w:r>
        <w:t xml:space="preserve"> This version (V3.13 RIGOURATE-Differentiated + Realism-Aware) integrates the RIGOURATE Reproduction + SimClaim Differentiation v1 task results into the paper. Two structural additions only: (1) §VI.E reports a RIGOURATE-style scalar overstatement proxy baseline built on the existing SimClaim silver data and existing LLM-parsed outputs — </w:t>
      </w:r>
      <w:r>
        <w:rPr>
          <w:b/>
        </w:rPr>
        <w:t xml:space="preserve">no paid API calls, no new experiments beyond the proxy construction, no new model training, no threshold retuning</w:t>
      </w:r>
      <w:r>
        <w:t xml:space="preserve">; the proxy is explicitly labelled as a proxy and is NOT the official RIGOURATE system (official RIGOURATE code/data/model are not publicly available as of 2026-07-05); (2) §VII.J upgrades the proposed gold-realism audit to a two-layer gold protocol (Layer 1 relation label, Layer 2 claim realism), referencing `proposed_relation_realism_gold_protocol_v2.md`. §IX adds one limitation item (proxy-baseline caveat). Title changed to reflect the fine-grained relation-diagnosis positioning. </w:t>
      </w:r>
      <w:r>
        <w:rPr>
          <w:b/>
        </w:rPr>
        <w:t xml:space="preserve">No §VI.A–§VI.D number is changed. No §VIII.D number is changed. No §VII.G criterion is changed. The R4 macro-F1 &lt; LLM macro-F1 fact is preserved. The gold-not-done fact is preserved. The silver-not-gold fact is preserved. The SimClaim-is-counterfactual fact is preserved. The RIGOURATE-style baseline is a proxy, not an official reproduction.</w:t>
      </w:r>
      <w:r>
        <w:t xml:space="preserve"> V3.13 (prior), V3.12.1, V3.12, V3.11, V3.10.1, and V3.9 are preserved unchanged.</w:t>
      </w:r>
    </w:p>
    <w:p>
      <w:r>
        <w:rPr>
          <w:b/>
        </w:rPr>
        <w:t xml:space="preserve">Changes from V3.11:</w:t>
      </w:r>
      <w:r>
        <w:t xml:space="preserve"> Insertion of three non-gold credibility checks (§VIII.D) — Evidence Necessity Check, Screening Utility Test, and Label-Shift Stress Test — based on already-existing data, predictions, and scores. </w:t>
      </w:r>
      <w:r>
        <w:rPr>
          <w:b/>
        </w:rPr>
        <w:t xml:space="preserve">No new experiments, no API calls, no gold annotation, no new model training, no threshold retuning, no change to any experimental number, no change to the frozen R4 method, no change to the taxonomy boundary rules.</w:t>
      </w:r>
      <w:r>
        <w:t xml:space="preserve"> All §VI numbers (R4 strong-F1 0.3967, LLM strong-F1 0.0769, macro-F1 values, bootstrap CI, ablation, FP/TP ratio) are preserved byte-identical from V3.11. The new §VIII.D is explicitly labeled as non-gold robustness analysis and does not replace gold adjudication. The prior §VIII.D (What Remains Unresolved) is renumbered to §VIII.E. A single sentence is added to the Abstract; one item is added to the Limitations. V3.11, V3.10.1, and V3.9 are preserved unchanged.</w:t>
      </w:r>
    </w:p>
    <w:p>
      <w:r>
        <w:rPr>
          <w:b/>
        </w:rPr>
        <w:t xml:space="preserve">Changes from V3.10.1:</w:t>
      </w:r>
      <w:r>
        <w:t xml:space="preserve"> Narrative and framework restructure to a high-standard positioning. No new experiments, no API calls, no gold annotation, no change to any experimental number, no change to the frozen R4 method, no change to the taxonomy boundary rules. Workshop / pilot-only / low-config language is removed from the main positioning; "not submission-ready" and "pre-gold complete draft" are replaced with "validation-pending" and "controlled silver-stage evidence." The gold validation section (§VII) is reframed as a protocol-locked validation mechanism rather than a self-denial passage. Contributions are expanded from 4 to 5 (§I). The Results section (§VI) uses "on the controlled silver-stage evaluation" as the standard qualifier. All experimental numbers (R4 strong-F1 0.3967, LLM strong-F1 0.0769, macro-F1 values, bootstrap CI, ablation, FP/TP ratio) are preserved byte-identical from V3.10.1. V3.10.1 and V3.9 are preserved unchanged.</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the most consequential failure mode is not outright contradiction but </w:t>
      </w:r>
      <w:r>
        <w:rPr>
          <w:b/>
        </w:rPr>
        <w:t xml:space="preserve">evidence-to-claim strength mismatch</w:t>
      </w:r>
      <w:r>
        <w:t xml:space="preserve">: the evidence is topically relevant, directionally consistent, and non-contradictory, yet it does not justify the </w:t>
      </w:r>
      <w:r>
        <w:rPr>
          <w:i/>
        </w:rPr>
        <w:t xml:space="preserve">strength</w:t>
      </w:r>
      <w:r>
        <w:t xml:space="preserve"> of the claim — particularly when a claim asserts deployment readiness, actionability, safety, or operational conclusions on the basis of limited experimental evidence. </w:t>
      </w:r>
      <w:r>
        <w:rPr>
          <w:b/>
        </w:rPr>
        <w:t xml:space="preserve">Building on recent work on scientific overstatement scoring and evidence-force calibration</w:t>
      </w:r>
      <w:r>
        <w:t xml:space="preserve"> (RIGOURATE [30], the evidence-licensed claims perspective [31], ForceBench [35]), </w:t>
      </w:r>
      <w:r>
        <w:rPr>
          <w:b/>
        </w:rPr>
        <w:t xml:space="preserve">we study a fine-grained diagnostic variant of evidence-sufficiency calibration</w:t>
      </w:r>
      <w:r>
        <w:t xml:space="preserve"> and define a </w:t>
      </w:r>
      <w:r>
        <w:rPr>
          <w:b/>
        </w:rPr>
        <w:t xml:space="preserve">four-class taxonomy</w:t>
      </w:r>
      <w:r>
        <w:t xml:space="preserve">: supported, mild_scope_overclaim, strong_action_overclaim, and contradiction_candidate. We construct </w:t>
      </w:r>
      <w:r>
        <w:rPr>
          <w:b/>
        </w:rPr>
        <w:t xml:space="preserve">SimClaim</w:t>
      </w:r>
      <w:r>
        <w:t xml:space="preserve">, a controlled counterfactual diagnostic benchmark of 444 claim–evidence pairs across 111 evidence groups and six domains, with AI-preannotated and author-screened silver labels; evidence spans are drawn from real scientific papers while claim variants are generated to instantiate specific evidence-sufficiency relations. We propose </w:t>
      </w:r>
      <w:r>
        <w:rPr>
          <w:b/>
        </w:rPr>
        <w:t xml:space="preserve">CESE-OCN/R4</w:t>
      </w:r>
      <w:r>
        <w:t xml:space="preserve">, a structured evidence-relation screening framework that complements generic LLM/NLI judges via a contradiction detector, a scope-calibration residual classifier, and a conservative strong-action escalation route. On the controlled silver-stage evaluation, R4 improves strong_action positive-F1 from 0.2408 to 0.3967 while preserving contradiction performance; under the tested prompts, generic LLM judges (GPT-5.5, DeepSeek-V3) consistently under-detect strong_action_overclaim (strong-F1 = 0.0769, recall 0.04), while R4 reaches strong-F1 = 0.3000 on matched samples — at the cost of lower overall macro-F1 (0.3280 vs. 0.5523), positioning R4 as a screening-oriented complement, not a replacement. Because official RIGOURATE code/data/model are not publicly available as of 2026-07-05, we construct a RIGOURATE-style scalar overstatement proxy baseline (§VI.E) — explicitly labelled as proxy, NOT the official RIGOURATE system — and show that, on the controlled silver-stage evaluation, a scalar score (whether cue-based or LLM-derived) cannot reliably distinguish mild_scope_overclaim from strong_action_overclaim (ROC-AUC ≤ 0.59) and cannot match R4's strong_action screening F1; scalar overstatement scoring and relation-specific screening are complementary. A </w:t>
      </w:r>
      <w:r>
        <w:rPr>
          <w:b/>
        </w:rPr>
        <w:t xml:space="preserve">pre-registered two-layer gold adjudication protocol</w:t>
      </w:r>
      <w:r>
        <w:t xml:space="preserve"> (§VII: Layer 1 relation label + §VII.J Layer 2 claim realism, with pre-registered 25% class-level and paper-level realism thresholds) with frozen success and downgrade criteria is specified to validate the taxonomy, the strong_action retention pattern, and the claim-realism profile; gold results are inserted into Tables G1–G3 without restructuring the paper. We further report three non-gold credibility checks (§VIII.D) testing evidence necessity, screening utility, and sensitivity to simulated strong-label shift. The contribution is a fine-grained relation-type decomposition with a frozen, protocol-locked validation mechanism — not the introduction of scientific overstatement detection as a new field, and not a claim of state-of-the-art overstatement detection.</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rPr>
          <w:b/>
        </w:rPr>
        <w:t xml:space="preserve">Recent work has begun to quantify scientific overstatement and evidence-force mismatch.</w:t>
      </w:r>
      <w:r>
        <w:t xml:space="preserve"> RIGOURATE [30] retrieves supporting evidence from full papers and assigns continuous overstatement scores to claims; the evidence-licensed claims perspective [31] frames scientific writing as calibrating assertion rights to available evidence; ForceBench [35] provides a contrastive evidence-force calibration stress test that fixes the cited passage and compares a calibrated claim against a force-raised claim across relation, modality, scope, temporal validity, and numeric specificity; CLAIM-BENCH [28] evaluates scientific claim-evidence extraction and validation across full papers. These lines establish scientific overstatement and evidence-force calibration as an active research track. </w:t>
      </w:r>
      <w:r>
        <w:rPr>
          <w:b/>
        </w:rPr>
        <w:t xml:space="preserve">However, less attention has been paid to whether different overclaim relations require different diagnostic treatment, especially high-risk action/deployment overclaims.</w:t>
      </w:r>
      <w:r>
        <w:t xml:space="preserve"> In particular, a continuous overstatement score does not directly separate mild scope expansion from a high-risk action, deployment, safety, or generalization overclaim; a contrastive paired-claim force test does not directly perform single-instance relation typing; and a claim-evidence extraction benchmark does not isolate the evidence-to-claim strength-mismatch taxonomy.</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 for fine-grained scientific claim calibration</w:t>
      </w:r>
      <w:r>
        <w:t xml:space="preserve">. In scientific writing and AI-assisted research,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 This mismatch is not a factual error — it is an evidence-sufficiency error, and current support/refute/NEI frameworks do not isolate it as a relation-type problem distinct from generic factual correctness.</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high-risk boundary class: the most consequential for scientific claim calibration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the controlled silver-stage evaluation, GPT-5.5 macro-F1 = 0.5523, DeepSeek-V3 macro-F1 = 0.5270 on matched samples), but they </w:t>
      </w:r>
      <w:r>
        <w:rPr>
          <w:b/>
        </w:rPr>
        <w:t xml:space="preserve">consistently under-detect strong_action_overclaim under both tested prompt designs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tested prompt setting (Figure 3). This is a controlled silver-stage finding; the pre-registered gold adjudication (§VII) is the protocol-locked mechanism that determines whether this pattern is treated as validated.</w:t>
      </w:r>
    </w:p>
    <w:p>
      <w:r>
        <w:t xml:space="preserve">We therefore position CESE-OCN/R4 as a </w:t>
      </w:r>
      <w:r>
        <w:rPr>
          <w:b/>
        </w:rPr>
        <w:t xml:space="preserve">screening-oriented 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the controlled silver-stage evaluation (absolute gap +0.2231). </w:t>
      </w:r>
      <w:r>
        <w:rPr>
          <w:b/>
        </w:rPr>
        <w:t xml:space="preserve">R4 is not the strongest model on overall macro-F1 — LLM judges retain that, with GPT-5.5 at 0.5523 vs. R4 at 0.3280 on the matched 100 — but it provides targeted screening signal on the high-risk boundary class that LLM judges miss under the tested prompts.</w:t>
      </w:r>
      <w:r>
        <w:t xml:space="preserve"> This positioning as a screening-oriented complement, rather than a competitive replacement, is central to the paper's contribution.</w:t>
      </w:r>
    </w:p>
    <w:p>
      <w:r>
        <w:t xml:space="preserve">This manuscript makes </w:t>
      </w:r>
      <w:r>
        <w:rPr>
          <w:b/>
        </w:rPr>
        <w:t xml:space="preserve">three contributions</w:t>
      </w:r>
      <w:r>
        <w:t xml:space="preserve">, explicitly positioned on the existing scientific overstatement / evidence-force calibration track rather than claiming to open a new field:</w:t>
      </w:r>
    </w:p>
    <w:p>
      <w:pPr>
        <w:pStyle w:val="ListNumber"/>
      </w:pPr>
      <w:r>
        <w:rPr>
          <w:b/>
        </w:rPr>
        <w:t xml:space="preserve">Taxonomy contribution.</w:t>
      </w:r>
      <w:r>
        <w:t xml:space="preserve"> We decompose evidence-sufficiency mismatch into </w:t>
      </w:r>
      <w:r>
        <w:rPr>
          <w:b/>
        </w:rPr>
        <w:t xml:space="preserve">supported</w:t>
      </w:r>
      <w:r>
        <w:t xml:space="preserve">, </w:t>
      </w:r>
      <w:r>
        <w:rPr>
          <w:b/>
        </w:rPr>
        <w:t xml:space="preserve">mild_scope_overclaim</w:t>
      </w:r>
      <w:r>
        <w:t xml:space="preserve">, </w:t>
      </w:r>
      <w:r>
        <w:rPr>
          <w:b/>
        </w:rPr>
        <w:t xml:space="preserve">strong_action_overclaim</w:t>
      </w:r>
      <w:r>
        <w:t xml:space="preserve">, and </w:t>
      </w:r>
      <w:r>
        <w:rPr>
          <w:b/>
        </w:rPr>
        <w:t xml:space="preserve">contradiction_candidate</w:t>
      </w:r>
      <w:r>
        <w:t xml:space="preserve">, with an operational decision tree (Figure 2), concrete examples (Table 0), and explicit boundary rules. This is a relation-type decomposition that complements continuous overstatement scoring (RIGOURATE [30]), contrastive paired-claim force testing (ForceBench [35]), and full-paper claim-evidence extraction (CLAIM-BENCH [28]); it is not a claim to introduce scientific overstatement detection as a new field. The separability of strong_action_overclaim as a reliably drawable class is a hypothesis tested by the pre-registered gold adjudication (§VII), not an assumption taken as already proven.</w:t>
      </w:r>
    </w:p>
    <w:p>
      <w:pPr>
        <w:pStyle w:val="ListNumber"/>
      </w:pPr>
      <w:r>
        <w:rPr>
          <w:b/>
        </w:rPr>
        <w:t xml:space="preserve">Diagnostic contribution.</w:t>
      </w:r>
      <w:r>
        <w:t xml:space="preserve"> On the controlled silver-stage evaluation, we show that under tested prompts, strong LLM judges (GPT-5.5, DeepSeek-V3) can achieve higher overall macro-F1 (0.5523 / 0.5270 on matched samples) while </w:t>
      </w:r>
      <w:r>
        <w:rPr>
          <w:b/>
        </w:rPr>
        <w:t xml:space="preserve">consistently under-detecting strong_action_overclaim</w:t>
      </w:r>
      <w:r>
        <w:t xml:space="preserve"> (strong-F1 = 0.0769, recall 0.04 = 1/25 across both models and both prompt designs tested). This is a controlled silver-stage diagnostic finding — not a fundamental limit of LLMs — and the pre-registered gold adjudication (§VII) is the protocol-locked mechanism that determines whether this pattern is treated as established.</w:t>
      </w:r>
    </w:p>
    <w:p>
      <w:pPr>
        <w:pStyle w:val="ListNumber"/>
      </w:pPr>
      <w:r>
        <w:rPr>
          <w:b/>
        </w:rPr>
        <w:t xml:space="preserve">Screening-method contribution.</w:t>
      </w:r>
      <w:r>
        <w:t xml:space="preserve"> We propose </w:t>
      </w:r>
      <w:r>
        <w:rPr>
          <w:b/>
        </w:rPr>
        <w:t xml:space="preserve">CESE-OCN/R4</w:t>
      </w:r>
      <w:r>
        <w:t xml:space="preserve">, a relation-specific screening complement that improves strong_action recall and positive-F1 (R4 strong-F1 = 0.3000 on matched 100 samples vs. LLM 0.0769; R4 strong-F1 = 0.3967 vs. flat baseline 0.2408 on the full 444) at the cost of lower overall macro-F1 (0.3280 vs. 0.5523). R4 is positioned as a screening-oriented complement to black-box LLM judges, not a competitive replacement and not a state-of-the-art overstatement detector. A pre-registered gold adjudication protocol (§VII) with frozen success and downgrade criteria specifies how the silver-stage screening claim is validated or downgraded.</w:t>
      </w:r>
    </w:p>
    <w:p>
      <w:r>
        <w:t xml:space="preserve">The remainder of the paper is organized as follows: §II positions the work, including a new subsection on the relation to scientific overstatement and evidence-force calibration (RIGOURATE, ForceBench, CLAIM-BENCH) and a positioning table; §III formulates the task and provides taxonomy examples (Table 0) and the decision tree (Figure 2); §IV describes the CESE-OCN/R4 framework (Figure 1); §V describes the data and protocol, including a synthetic/counterfactual transparency statement for SimClaim; §VI reports controlled silver-stage results (Figure 3, Tables 1–3); </w:t>
      </w:r>
      <w:r>
        <w:rPr>
          <w:b/>
        </w:rPr>
        <w:t xml:space="preserve">§VII specifies the pre-registered gold validation protocol, including placeholder Tables G1–G3, frozen success/downgrade criteria, and a proposed gold-realism audit extension</w:t>
      </w:r>
      <w:r>
        <w:t xml:space="preserve">; §VIII discusses implications, including three non-gold credibility checks (§VIII.D) and a subsection on why fine-grained relation typing is valuable (§VIII.F);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pPr>
        <w:pStyle w:val="Heading3"/>
      </w:pPr>
      <w:r>
        <w:t xml:space="preserve">A. Relation to Scientific Overstatement and Evidence-Force Calibration</w:t>
      </w:r>
    </w:p>
    <w:p>
      <w:r>
        <w:t xml:space="preserve">The closest recent lines to our framing are scientific overstatement scoring, evidence-force calibration, and scientific claim-evidence reasoning. We discuss the three closest works — RIGOURATE [30], ForceBench [35], and CLAIM-BENCH [28] — and position CESE-OCN relative to each.</w:t>
      </w:r>
    </w:p>
    <w:p>
      <w:r>
        <w:rPr>
          <w:b/>
        </w:rPr>
        <w:t xml:space="preserve">RIGOURATE [30]</w:t>
      </w:r>
      <w:r>
        <w:t xml:space="preserve"> retrieves supporting evidence from full papers and assigns continuous overstatement scores to scientific claims, aligning each claim with the evidence that supports (or fails to support) it. RIGOURATE is stronger than the present work along several axes: it operates on natural author-written claims at larger data scale, performs evidence retrieval from full papers, and has been validated against human overstatement judgments. We acknowledge this clearly. The difference is one of </w:t>
      </w:r>
      <w:r>
        <w:rPr>
          <w:i/>
        </w:rPr>
        <w:t xml:space="preserve">output granularity and target</w:t>
      </w:r>
      <w:r>
        <w:t xml:space="preserve">: RIGOURATE estimates the </w:t>
      </w:r>
      <w:r>
        <w:rPr>
          <w:b/>
        </w:rPr>
        <w:t xml:space="preserve">degree of overstatement</w:t>
      </w:r>
      <w:r>
        <w:t xml:space="preserve"> as a score, while CESE-OCN diagnoses the </w:t>
      </w:r>
      <w:r>
        <w:rPr>
          <w:b/>
        </w:rPr>
        <w:t xml:space="preserve">type of evidence-sufficiency mismatch</w:t>
      </w:r>
      <w:r>
        <w:t xml:space="preserve"> as a four-class relation. In particular, RIGOURATE does not isolate </w:t>
      </w:r>
      <w:r>
        <w:rPr>
          <w:i/>
        </w:rPr>
        <w:t xml:space="preserve">mild scope expansion</w:t>
      </w:r>
      <w:r>
        <w:t xml:space="preserve"> from </w:t>
      </w:r>
      <w:r>
        <w:rPr>
          <w:i/>
        </w:rPr>
        <w:t xml:space="preserve">high-risk action/deployment overclaim</w:t>
      </w:r>
      <w:r>
        <w:t xml:space="preserve"> as separate operational classes; a single overstatement score can conflate a claim that mildly over-extends scope with a claim that asserts deployment readiness, safety, or operational conclusions the evidence does not justify. CESE-OCN's contribution is to make this separation operational via the strong_action_overclaim class and a relation-specific screening route targeting it. The two approaches are complementary: a continuous score can be produced by RIGOURATE-style systems, and a relation-type decomposition can be produced by CESE-OCN, on the same claim-evidence pair.</w:t>
      </w:r>
    </w:p>
    <w:p>
      <w:r>
        <w:rPr>
          <w:b/>
        </w:rPr>
        <w:t xml:space="preserve">ForceBench [35]</w:t>
      </w:r>
      <w:r>
        <w:t xml:space="preserve"> is a contrastive evidence-force calibration stress test. It fixes the cited passage and compares a </w:t>
      </w:r>
      <w:r>
        <w:rPr>
          <w:i/>
        </w:rPr>
        <w:t xml:space="preserve">calibrated claim</w:t>
      </w:r>
      <w:r>
        <w:t xml:space="preserve"> against a </w:t>
      </w:r>
      <w:r>
        <w:rPr>
          <w:i/>
        </w:rPr>
        <w:t xml:space="preserve">force-raised claim</w:t>
      </w:r>
      <w:r>
        <w:t xml:space="preserve"> across five force dimensions — relation, modality, scope, temporal validity, and numeric specificity — testing whether a model monotonically prefers the calibrated claim over the force-raised claim. ForceBench is stronger than the present work along several axes: it provides a clean contrastive paired-claim protocol, covers five distinct force dimensions, and is cited-RAG oriented with monotonic preference as the evaluation signal. We acknowledge this clearly. The difference is one of </w:t>
      </w:r>
      <w:r>
        <w:rPr>
          <w:i/>
        </w:rPr>
        <w:t xml:space="preserve">input form and output type</w:t>
      </w:r>
      <w:r>
        <w:t xml:space="preserve">: ForceBench tests </w:t>
      </w:r>
      <w:r>
        <w:rPr>
          <w:b/>
        </w:rPr>
        <w:t xml:space="preserve">monotonic preference between paired claims</w:t>
      </w:r>
      <w:r>
        <w:t xml:space="preserve"> (calibrated vs. force-raised), while CESE-OCN performs </w:t>
      </w:r>
      <w:r>
        <w:rPr>
          <w:b/>
        </w:rPr>
        <w:t xml:space="preserve">single-instance relation typing and screening</w:t>
      </w:r>
      <w:r>
        <w:t xml:space="preserve"> for high-risk action-overclaim. ForceBench is cited-RAG oriented; CESE-OCN is scientific claim-evidence calibration / diagnostic screening oriented. ForceBench's contrastive design is powerful for testing whether a model </w:t>
      </w:r>
      <w:r>
        <w:rPr>
          <w:i/>
        </w:rPr>
        <w:t xml:space="preserve">recognizes force mismatch at all</w:t>
      </w:r>
      <w:r>
        <w:t xml:space="preserve">, but it does not directly output a four-class relation label on a single claim, and it does not isolate the high-risk action/deployment sub-class as a screening target. The two approaches are complementary: ForceBench-style contrastive tests can probe whether a model is force-sensitive, while CESE-OCN-style relation typing can output an operational screening label on a single claim.</w:t>
      </w:r>
    </w:p>
    <w:p>
      <w:r>
        <w:rPr>
          <w:b/>
        </w:rPr>
        <w:t xml:space="preserve">CLAIM-BENCH [28]</w:t>
      </w:r>
      <w:r>
        <w:t xml:space="preserve"> evaluates scientific claim-evidence extraction and validation across full papers, extending scientific claim verification to larger paper-level settings with full-paper evidence links. CLAIM-BENCH is stronger than the present work along several axes: it operates on natural full-paper claim-evidence pairs, evaluates extraction and validation jointly, and provides a larger-scale benchmark. We acknowledge this clearly. The difference is one of </w:t>
      </w:r>
      <w:r>
        <w:rPr>
          <w:i/>
        </w:rPr>
        <w:t xml:space="preserve">primary question</w:t>
      </w:r>
      <w:r>
        <w:t xml:space="preserve">: CLAIM-BENCH focuses on </w:t>
      </w:r>
      <w:r>
        <w:rPr>
          <w:b/>
        </w:rPr>
        <w:t xml:space="preserve">whether evidence supports claims</w:t>
      </w:r>
      <w:r>
        <w:t xml:space="preserve"> (extraction + validation), while CESE-OCN focuses on </w:t>
      </w:r>
      <w:r>
        <w:rPr>
          <w:b/>
        </w:rPr>
        <w:t xml:space="preserve">whether evidence is sufficient for the strength and actionability of claims</w:t>
      </w:r>
      <w:r>
        <w:t xml:space="preserve"> (calibration of claim strength to evidence). CLAIM-BENCH does not introduce a strength-mismatch taxonomy that separates mild scope overclaim from high-risk action overclaim; its labels are organized around support/refute/NEI-style extraction validation rather than around the action-overclaim boundary. The two approaches are complementary: CLAIM-BENCH-style extraction-validation can determine whether evidence is correctly linked to a claim, while CESE-OCN-style relation typing can diagnose whether the claim's strength is calibrated to that evidence.</w:t>
      </w:r>
    </w:p>
    <w:p>
      <w:r>
        <w:rPr>
          <w:b/>
        </w:rPr>
        <w:t xml:space="preserve">Table X. Positioning against Closest Related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tblGrid>
      <w:tr>
        <w:tc>
          <w:tcPr>
            <w:tcW w:w="2000" w:type="dxa"/>
          </w:tcPr>
          <w:p>
            <w:pPr>
              <w:pStyle w:val="TableCell"/>
            </w:pPr>
            <w:r>
              <w:rPr>
                <w:b/>
              </w:rPr>
              <w:t xml:space="preserve">Work</w:t>
            </w:r>
          </w:p>
        </w:tc>
        <w:tc>
          <w:tcPr>
            <w:tcW w:w="2000" w:type="dxa"/>
          </w:tcPr>
          <w:p>
            <w:pPr>
              <w:pStyle w:val="TableCell"/>
            </w:pPr>
            <w:r>
              <w:rPr>
                <w:b/>
              </w:rPr>
              <w:t xml:space="preserve">Primary question</w:t>
            </w:r>
          </w:p>
        </w:tc>
        <w:tc>
          <w:tcPr>
            <w:tcW w:w="2000" w:type="dxa"/>
          </w:tcPr>
          <w:p>
            <w:pPr>
              <w:pStyle w:val="TableCell"/>
            </w:pPr>
            <w:r>
              <w:rPr>
                <w:b/>
              </w:rPr>
              <w:t xml:space="preserve">Data type</w:t>
            </w:r>
          </w:p>
        </w:tc>
        <w:tc>
          <w:tcPr>
            <w:tcW w:w="2000" w:type="dxa"/>
          </w:tcPr>
          <w:p>
            <w:pPr>
              <w:pStyle w:val="TableCell"/>
            </w:pPr>
            <w:r>
              <w:rPr>
                <w:b/>
              </w:rPr>
              <w:t xml:space="preserve">Output</w:t>
            </w:r>
          </w:p>
        </w:tc>
        <w:tc>
          <w:tcPr>
            <w:tcW w:w="2000" w:type="dxa"/>
          </w:tcPr>
          <w:p>
            <w:pPr>
              <w:pStyle w:val="TableCell"/>
            </w:pPr>
            <w:r>
              <w:rPr>
                <w:b/>
              </w:rPr>
              <w:t xml:space="preserve">Handles overclaim severity?</w:t>
            </w:r>
          </w:p>
        </w:tc>
        <w:tc>
          <w:tcPr>
            <w:tcW w:w="2000" w:type="dxa"/>
          </w:tcPr>
          <w:p>
            <w:pPr>
              <w:pStyle w:val="TableCell"/>
            </w:pPr>
            <w:r>
              <w:rPr>
                <w:b/>
              </w:rPr>
              <w:t xml:space="preserve">Separates overclaim types?</w:t>
            </w:r>
          </w:p>
        </w:tc>
        <w:tc>
          <w:tcPr>
            <w:tcW w:w="2000" w:type="dxa"/>
          </w:tcPr>
          <w:p>
            <w:pPr>
              <w:pStyle w:val="TableCell"/>
            </w:pPr>
            <w:r>
              <w:rPr>
                <w:b/>
              </w:rPr>
              <w:t xml:space="preserve">Targets action/deployment overclaim?</w:t>
            </w:r>
          </w:p>
        </w:tc>
        <w:tc>
          <w:tcPr>
            <w:tcW w:w="2000" w:type="dxa"/>
          </w:tcPr>
          <w:p>
            <w:pPr>
              <w:pStyle w:val="TableCell"/>
            </w:pPr>
            <w:r>
              <w:rPr>
                <w:b/>
              </w:rPr>
              <w:t xml:space="preserve">Our relation</w:t>
            </w:r>
          </w:p>
        </w:tc>
      </w:tr>
      <w:tr>
        <w:tc>
          <w:tcPr>
            <w:tcW w:w="2000" w:type="dxa"/>
          </w:tcPr>
          <w:p>
            <w:pPr>
              <w:pStyle w:val="TableCell"/>
            </w:pPr>
            <w:r>
              <w:t xml:space="preserve">RIGOURATE [30]</w:t>
            </w:r>
          </w:p>
        </w:tc>
        <w:tc>
          <w:tcPr>
            <w:tcW w:w="2000" w:type="dxa"/>
          </w:tcPr>
          <w:p>
            <w:pPr>
              <w:pStyle w:val="TableCell"/>
            </w:pPr>
            <w:r>
              <w:t xml:space="preserve">How overstated is this claim, given retrieved evidence?</w:t>
            </w:r>
          </w:p>
        </w:tc>
        <w:tc>
          <w:tcPr>
            <w:tcW w:w="2000" w:type="dxa"/>
          </w:tcPr>
          <w:p>
            <w:pPr>
              <w:pStyle w:val="TableCell"/>
            </w:pPr>
            <w:r>
              <w:t xml:space="preserve">Natural author-written claims + retrieved evidence from full papers</w:t>
            </w:r>
          </w:p>
        </w:tc>
        <w:tc>
          <w:tcPr>
            <w:tcW w:w="2000" w:type="dxa"/>
          </w:tcPr>
          <w:p>
            <w:pPr>
              <w:pStyle w:val="TableCell"/>
            </w:pPr>
            <w:r>
              <w:t xml:space="preserve">Continuous overstatement score</w:t>
            </w:r>
          </w:p>
        </w:tc>
        <w:tc>
          <w:tcPr>
            <w:tcW w:w="2000" w:type="dxa"/>
          </w:tcPr>
          <w:p>
            <w:pPr>
              <w:pStyle w:val="TableCell"/>
            </w:pPr>
            <w:r>
              <w:t xml:space="preserve">Yes (continuous score)</w:t>
            </w:r>
          </w:p>
        </w:tc>
        <w:tc>
          <w:tcPr>
            <w:tcW w:w="2000" w:type="dxa"/>
          </w:tcPr>
          <w:p>
            <w:pPr>
              <w:pStyle w:val="TableCell"/>
            </w:pPr>
            <w:r>
              <w:t xml:space="preserve">No (single score, no type decomposition)</w:t>
            </w:r>
          </w:p>
        </w:tc>
        <w:tc>
          <w:tcPr>
            <w:tcW w:w="2000" w:type="dxa"/>
          </w:tcPr>
          <w:p>
            <w:pPr>
              <w:pStyle w:val="TableCell"/>
            </w:pPr>
            <w:r>
              <w:t xml:space="preserve">No (no separate action-overclaim class)</w:t>
            </w:r>
          </w:p>
        </w:tc>
        <w:tc>
          <w:tcPr>
            <w:tcW w:w="2000" w:type="dxa"/>
          </w:tcPr>
          <w:p>
            <w:pPr>
              <w:pStyle w:val="TableCell"/>
            </w:pPr>
            <w:r>
              <w:t xml:space="preserve">Complementary: score + relation-type decomposition</w:t>
            </w:r>
          </w:p>
        </w:tc>
      </w:tr>
      <w:tr>
        <w:tc>
          <w:tcPr>
            <w:tcW w:w="2000" w:type="dxa"/>
          </w:tcPr>
          <w:p>
            <w:pPr>
              <w:pStyle w:val="TableCell"/>
            </w:pPr>
            <w:r>
              <w:t xml:space="preserve">ForceBench [35]</w:t>
            </w:r>
          </w:p>
        </w:tc>
        <w:tc>
          <w:tcPr>
            <w:tcW w:w="2000" w:type="dxa"/>
          </w:tcPr>
          <w:p>
            <w:pPr>
              <w:pStyle w:val="TableCell"/>
            </w:pPr>
            <w:r>
              <w:t xml:space="preserve">Does the model monotonically prefer calibrated vs. force-raised claims?</w:t>
            </w:r>
          </w:p>
        </w:tc>
        <w:tc>
          <w:tcPr>
            <w:tcW w:w="2000" w:type="dxa"/>
          </w:tcPr>
          <w:p>
            <w:pPr>
              <w:pStyle w:val="TableCell"/>
            </w:pPr>
            <w:r>
              <w:t xml:space="preserve">Contrastive paired claims (calibrated vs. force-raised) with fixed cited passage</w:t>
            </w:r>
          </w:p>
        </w:tc>
        <w:tc>
          <w:tcPr>
            <w:tcW w:w="2000" w:type="dxa"/>
          </w:tcPr>
          <w:p>
            <w:pPr>
              <w:pStyle w:val="TableCell"/>
            </w:pPr>
            <w:r>
              <w:t xml:space="preserve">Monotonic preference signal per force dimension</w:t>
            </w:r>
          </w:p>
        </w:tc>
        <w:tc>
          <w:tcPr>
            <w:tcW w:w="2000" w:type="dxa"/>
          </w:tcPr>
          <w:p>
            <w:pPr>
              <w:pStyle w:val="TableCell"/>
            </w:pPr>
            <w:r>
              <w:t xml:space="preserve">Yes (force dimensions include scope and modality)</w:t>
            </w:r>
          </w:p>
        </w:tc>
        <w:tc>
          <w:tcPr>
            <w:tcW w:w="2000" w:type="dxa"/>
          </w:tcPr>
          <w:p>
            <w:pPr>
              <w:pStyle w:val="TableCell"/>
            </w:pPr>
            <w:r>
              <w:t xml:space="preserve">Partial (five force dimensions, but not single-instance four-class relation)</w:t>
            </w:r>
          </w:p>
        </w:tc>
        <w:tc>
          <w:tcPr>
            <w:tcW w:w="2000" w:type="dxa"/>
          </w:tcPr>
          <w:p>
            <w:pPr>
              <w:pStyle w:val="TableCell"/>
            </w:pPr>
            <w:r>
              <w:t xml:space="preserve">No (no separate action-overclaim screening target)</w:t>
            </w:r>
          </w:p>
        </w:tc>
        <w:tc>
          <w:tcPr>
            <w:tcW w:w="2000" w:type="dxa"/>
          </w:tcPr>
          <w:p>
            <w:pPr>
              <w:pStyle w:val="TableCell"/>
            </w:pPr>
            <w:r>
              <w:t xml:space="preserve">Complementary: contrastive force-sensitivity + single-instance relation typing</w:t>
            </w:r>
          </w:p>
        </w:tc>
      </w:tr>
      <w:tr>
        <w:tc>
          <w:tcPr>
            <w:tcW w:w="2000" w:type="dxa"/>
          </w:tcPr>
          <w:p>
            <w:pPr>
              <w:pStyle w:val="TableCell"/>
            </w:pPr>
            <w:r>
              <w:t xml:space="preserve">CLAIM-BENCH [28]</w:t>
            </w:r>
          </w:p>
        </w:tc>
        <w:tc>
          <w:tcPr>
            <w:tcW w:w="2000" w:type="dxa"/>
          </w:tcPr>
          <w:p>
            <w:pPr>
              <w:pStyle w:val="TableCell"/>
            </w:pPr>
            <w:r>
              <w:t xml:space="preserve">Is evidence correctly extracted and does it support the claim?</w:t>
            </w:r>
          </w:p>
        </w:tc>
        <w:tc>
          <w:tcPr>
            <w:tcW w:w="2000" w:type="dxa"/>
          </w:tcPr>
          <w:p>
            <w:pPr>
              <w:pStyle w:val="TableCell"/>
            </w:pPr>
            <w:r>
              <w:t xml:space="preserve">Natural full-paper claim-evidence pairs</w:t>
            </w:r>
          </w:p>
        </w:tc>
        <w:tc>
          <w:tcPr>
            <w:tcW w:w="2000" w:type="dxa"/>
          </w:tcPr>
          <w:p>
            <w:pPr>
              <w:pStyle w:val="TableCell"/>
            </w:pPr>
            <w:r>
              <w:t xml:space="preserve">Extraction + validation label (support/refute/NEI-style)</w:t>
            </w:r>
          </w:p>
        </w:tc>
        <w:tc>
          <w:tcPr>
            <w:tcW w:w="2000" w:type="dxa"/>
          </w:tcPr>
          <w:p>
            <w:pPr>
              <w:pStyle w:val="TableCell"/>
            </w:pPr>
            <w:r>
              <w:t xml:space="preserve">No (not strength-calibration oriented)</w:t>
            </w:r>
          </w:p>
        </w:tc>
        <w:tc>
          <w:tcPr>
            <w:tcW w:w="2000" w:type="dxa"/>
          </w:tcPr>
          <w:p>
            <w:pPr>
              <w:pStyle w:val="TableCell"/>
            </w:pPr>
            <w:r>
              <w:t xml:space="preserve">No (no overclaim-type taxonomy)</w:t>
            </w:r>
          </w:p>
        </w:tc>
        <w:tc>
          <w:tcPr>
            <w:tcW w:w="2000" w:type="dxa"/>
          </w:tcPr>
          <w:p>
            <w:pPr>
              <w:pStyle w:val="TableCell"/>
            </w:pPr>
            <w:r>
              <w:t xml:space="preserve">No</w:t>
            </w:r>
          </w:p>
        </w:tc>
        <w:tc>
          <w:tcPr>
            <w:tcW w:w="2000" w:type="dxa"/>
          </w:tcPr>
          <w:p>
            <w:pPr>
              <w:pStyle w:val="TableCell"/>
            </w:pPr>
            <w:r>
              <w:t xml:space="preserve">Complementary: extraction-validation + strength-calibration typing</w:t>
            </w:r>
          </w:p>
        </w:tc>
      </w:tr>
      <w:tr>
        <w:tc>
          <w:tcPr>
            <w:tcW w:w="2000" w:type="dxa"/>
          </w:tcPr>
          <w:p>
            <w:pPr>
              <w:pStyle w:val="TableCell"/>
            </w:pPr>
            <w:r>
              <w:rPr>
                <w:b/>
              </w:rPr>
              <w:t xml:space="preserve">CESE-OCN / SimClaim (this work)</w:t>
            </w:r>
          </w:p>
        </w:tc>
        <w:tc>
          <w:tcPr>
            <w:tcW w:w="2000" w:type="dxa"/>
          </w:tcPr>
          <w:p>
            <w:pPr>
              <w:pStyle w:val="TableCell"/>
            </w:pPr>
            <w:r>
              <w:t xml:space="preserve">What </w:t>
            </w:r>
            <w:r>
              <w:rPr>
                <w:i/>
              </w:rPr>
              <w:t xml:space="preserve">type</w:t>
            </w:r>
            <w:r>
              <w:t xml:space="preserve"> of evidence-sufficiency mismatch is this, and is it a high-risk action overclaim?</w:t>
            </w:r>
          </w:p>
        </w:tc>
        <w:tc>
          <w:tcPr>
            <w:tcW w:w="2000" w:type="dxa"/>
          </w:tcPr>
          <w:p>
            <w:pPr>
              <w:pStyle w:val="TableCell"/>
            </w:pPr>
            <w:r>
              <w:t xml:space="preserve">Controlled counterfactual diagnostic set (real evidence spans + generated claim variants)</w:t>
            </w:r>
          </w:p>
        </w:tc>
        <w:tc>
          <w:tcPr>
            <w:tcW w:w="2000" w:type="dxa"/>
          </w:tcPr>
          <w:p>
            <w:pPr>
              <w:pStyle w:val="TableCell"/>
            </w:pPr>
            <w:r>
              <w:t xml:space="preserve">Four-class relation label + strong_action screening signal</w:t>
            </w:r>
          </w:p>
        </w:tc>
        <w:tc>
          <w:tcPr>
            <w:tcW w:w="2000" w:type="dxa"/>
          </w:tcPr>
          <w:p>
            <w:pPr>
              <w:pStyle w:val="TableCell"/>
            </w:pPr>
            <w:r>
              <w:t xml:space="preserve">Yes (taxonomy separates severity by relation type)</w:t>
            </w:r>
          </w:p>
        </w:tc>
        <w:tc>
          <w:tcPr>
            <w:tcW w:w="2000" w:type="dxa"/>
          </w:tcPr>
          <w:p>
            <w:pPr>
              <w:pStyle w:val="TableCell"/>
            </w:pPr>
            <w:r>
              <w:t xml:space="preserve">Yes (four-class relation decomposition)</w:t>
            </w:r>
          </w:p>
        </w:tc>
        <w:tc>
          <w:tcPr>
            <w:tcW w:w="2000" w:type="dxa"/>
          </w:tcPr>
          <w:p>
            <w:pPr>
              <w:pStyle w:val="TableCell"/>
            </w:pPr>
            <w:r>
              <w:t xml:space="preserve">Yes (strong_action_overclaim is the screening target)</w:t>
            </w:r>
          </w:p>
        </w:tc>
        <w:tc>
          <w:tcPr>
            <w:tcW w:w="2000" w:type="dxa"/>
          </w:tcPr>
          <w:p>
            <w:pPr>
              <w:pStyle w:val="TableCell"/>
            </w:pPr>
            <w:r>
              <w:t xml:space="preserve">—</w:t>
            </w:r>
          </w:p>
        </w:tc>
      </w:tr>
    </w:tbl>
    <w:p>
      <w:r>
        <w:rPr>
          <w:b/>
        </w:rPr>
        <w:t xml:space="preserve">The controlled silver-stage evidence suggests that contradiction, scope shift, and action escalation should not be treated as identical classification errors.</w:t>
      </w:r>
      <w:r>
        <w:t xml:space="preserve">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(on the controlled silver-stage evaluation, baseline strong-F1 0.2408), and why a relation-specific router (R4, controlled silver-stage strong-F1 0.3967) is needed. Whether this pattern holds under gold adjudication is the subject of the protocol-locked validation in §VII.</w:t>
      </w:r>
    </w:p>
    <w:p>
      <w:r>
        <w:t xml:space="preserve">This manuscript is a </w:t>
      </w:r>
      <w:r>
        <w:rPr>
          <w:b/>
        </w:rPr>
        <w:t xml:space="preserve">framework-level contribution on the existing scientific overstatement / evidence-force calibration track</w:t>
      </w:r>
      <w:r>
        <w:t xml:space="preserve">: a fine-grained relation-type decomposition with a relation-specific router, a controlled counterfactual diagnostic benchmark, and a protocol-locked validation mechanism. It is </w:t>
      </w:r>
      <w:r>
        <w:rPr>
          <w:b/>
        </w:rPr>
        <w:t xml:space="preserve">not</w:t>
      </w:r>
      <w:r>
        <w:t xml:space="preserve"> a claim to introduce scientific overstatement detection or evidence sufficiency calibration as a new field,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controlled evaluation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pending independent gold adjudication (§VII).</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High-Risk Boundary Class</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r>
        <w:rPr>
          <w:b/>
        </w:rPr>
        <w:t xml:space="preserve">The separability of strong_action_overclaim as a reliably drawable class is a hypothesis tested by the pre-registered gold adjudication (§VII), not an assumption taken as already proven.</w:t>
      </w:r>
      <w:r>
        <w:t xml:space="preserve">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 — this is a protocol-locked safety mechanism, not a self-denial passage.</w:t>
      </w:r>
    </w:p>
    <w:p>
      <w:pPr>
        <w:pStyle w:val="Heading2"/>
      </w:pPr>
      <w:r>
        <w:t xml:space="preserve">IV. CESE-OCN/R4: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controlled silver-stage evidence is consistent with this: contradiction is comparatively well captured by NLI-style evidence signals (on the controlled silver-stage evaluation,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screening-oriented 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On the controlled silver-stage evaluation,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screening-oriented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Controlled Silver-Stage Diagnostic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are pending independent gold adjudication (§VII).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r>
        <w:rPr>
          <w:b/>
        </w:rPr>
        <w:t xml:space="preserve">Synthetic / counterfactual transparency statement.</w:t>
      </w:r>
      <w:r>
        <w:t xml:space="preserve"> SimClaim is </w:t>
      </w:r>
      <w:r>
        <w:rPr>
          <w:b/>
        </w:rPr>
        <w:t xml:space="preserve">not</w:t>
      </w:r>
      <w:r>
        <w:t xml:space="preserve"> a natural-prevalence corpus of author-written claims. It is a </w:t>
      </w:r>
      <w:r>
        <w:rPr>
          <w:b/>
        </w:rPr>
        <w:t xml:space="preserve">controlled counterfactual diagnostic set</w:t>
      </w:r>
      <w:r>
        <w:t xml:space="preserve">: evidence spans are drawn from real scientific papers, while claim variants are generated to instantiate specific evidence-sufficiency relations (supported, mild_scope_overclaim, strong_action_overclaim, contradiction_candidate). The four-way balanced design (111 per class) is a </w:t>
      </w:r>
      <w:r>
        <w:rPr>
          <w:i/>
        </w:rPr>
        <w:t xml:space="preserve">deliberate construction</w:t>
      </w:r>
      <w:r>
        <w:t xml:space="preserve"> for pressure-testing boundary recognition under matched evidence, </w:t>
      </w:r>
      <w:r>
        <w:rPr>
          <w:b/>
        </w:rPr>
        <w:t xml:space="preserve">not</w:t>
      </w:r>
      <w:r>
        <w:t xml:space="preserve"> an estimate of the natural prevalence of these relations in real scientific writing. In natural scientific corpora, we expect `contradiction_candidate` and `strong_action_overclaim` to be substantially rarer than `supported` and `mild_scope_overclaim`. Consequently:</w:t>
      </w:r>
    </w:p>
    <w:p>
      <w:pPr>
        <w:pStyle w:val="ListBullet"/>
      </w:pPr>
      <w:r>
        <w:t xml:space="preserve">SimClaim is appropriate for </w:t>
      </w:r>
      <w:r>
        <w:rPr>
          <w:b/>
        </w:rPr>
        <w:t xml:space="preserve">pressure-testing boundary recognition under matched evidence</w:t>
      </w:r>
      <w:r>
        <w:t xml:space="preserve"> and for </w:t>
      </w:r>
      <w:r>
        <w:rPr>
          <w:b/>
        </w:rPr>
        <w:t xml:space="preserve">controlled comparison of relation-specific routing strategies</w:t>
      </w:r>
      <w:r>
        <w:t xml:space="preserve">;</w:t>
      </w:r>
    </w:p>
    <w:p>
      <w:pPr>
        <w:pStyle w:val="ListBullet"/>
      </w:pPr>
      <w:r>
        <w:t xml:space="preserve">SimClaim is </w:t>
      </w:r>
      <w:r>
        <w:rPr>
          <w:b/>
        </w:rPr>
        <w:t xml:space="preserve">not</w:t>
      </w:r>
      <w:r>
        <w:t xml:space="preserve"> appropriate for estimating the real-world prevalence of each evidence-sufficiency relation in scientific papers, nor for training a calibrated prior over relation frequencies;</w:t>
      </w:r>
    </w:p>
    <w:p>
      <w:pPr>
        <w:pStyle w:val="ListBullet"/>
      </w:pPr>
      <w:r>
        <w:t xml:space="preserve">SimClaim's balanced design may inflate the apparent base rate of strong_action_overclaim and contradiction_candidate relative to natural corpora; downstream deployments that use R4 as a screening layer should re-calibrate the operating threshold against the target corpus's expected base rate.</w:t>
      </w:r>
    </w:p>
    <w:p>
      <w:r>
        <w:t xml:space="preserve">This transparency statement is reflected in the §VII gold-validation protocol, which proposes a parallel </w:t>
      </w:r>
      <w:r>
        <w:rPr>
          <w:b/>
        </w:rPr>
        <w:t xml:space="preserve">claim-realism audit</w:t>
      </w:r>
      <w:r>
        <w:t xml:space="preserve"> (§VII.H) so that gold adjudication assesses both relation-label agreement and claim realism/plausibility.</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controlled evaluation,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Transferability Probe</w:t>
      </w:r>
    </w:p>
    <w:p>
      <w:r>
        <w:t xml:space="preserve">To probe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This is an </w:t>
      </w:r>
      <w:r>
        <w:rPr>
          <w:b/>
        </w:rPr>
        <w:t xml:space="preserve">external transferability probe and sanity check</w:t>
      </w:r>
      <w:r>
        <w:t xml:space="preserve">, not a validation of the four-class evidence-sufficiency taxonomy.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w:t>
      </w:r>
      <w:r>
        <w:rPr>
          <w:b/>
        </w:rPr>
        <w:t xml:space="preserve">This probe can only test generic support/refutation transfer; it cannot validate the SimClaim evidence-sufficiency taxonomy, which requires action-overclaim labels that public datasets do not contain.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validation-pending.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is </w:t>
      </w:r>
      <w:r>
        <w:rPr>
          <w:b/>
        </w:rPr>
        <w:t xml:space="preserve">controlled silver-stage evidence, pending independent gold adjudication</w:t>
      </w:r>
      <w:r>
        <w:t xml:space="preserve"> — not yet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gold adjudication priority; `trusted_case_bank.csv` (18 cases, ≥4 per class) provides clear illustrative cases for paper examples — none of which are claimed as gold. The full audit is in `author_sanity_audit_40.csv`.</w:t>
      </w:r>
    </w:p>
    <w:p>
      <w:pPr>
        <w:pStyle w:val="Heading3"/>
      </w:pPr>
      <w:r>
        <w:t xml:space="preserve">E. Framing</w:t>
      </w:r>
    </w:p>
    <w:p>
      <w:r>
        <w:t xml:space="preserve">Because the dataset is small, silver-labeled, and the author sanity audit flags substantial label uncertainty, all results are framed as </w:t>
      </w:r>
      <w:r>
        <w:rPr>
          <w:b/>
        </w:rPr>
        <w:t xml:space="preserve">controlled silver-stage evidence</w:t>
      </w:r>
      <w:r>
        <w:t xml:space="preserve">. A higher-tier confirmatory submission would require 300–500 independently adjudicated claim-evidence pairs, inter-annotator agreement statistics, significance tests against stronger external baselines, and external validation. The pre-registered gold adjudication (§VII) is the protocol-locked next step toward that target.</w:t>
      </w:r>
    </w:p>
    <w:p>
      <w:pPr>
        <w:pStyle w:val="Heading2"/>
      </w:pPr>
      <w:r>
        <w:t xml:space="preserve">VI. Results</w:t>
      </w:r>
    </w:p>
    <w:p>
      <w:pPr>
        <w:pStyle w:val="TableCell"/>
      </w:pPr>
      <w:r>
        <w:rPr>
          <w:b/>
        </w:rPr>
        <w:t xml:space="preserve">All numerical results in this section are computed on the controlled silver-stage evaluation against AI-preannotated, author-screened silver labels. The pre-registered gold adjudication in §VII is the protocol-locked mechanism that determines whether these patterns are treated as validated: if gold supports the silver labels, these patterns become validated pilot findings; if not, the affected claims are downgraded according to the pre-registered criteria in §VII.G.</w:t>
      </w:r>
      <w:r>
        <w:t xml:space="preserve"> These are validation-pending findings; they are not gold benchmark numbers. The protocol-locked validation in §VII specifies how these numbers will be re-evaluated once gold labels are available.</w:t>
      </w:r>
    </w:p>
    <w:p>
      <w:pPr>
        <w:pStyle w:val="Heading3"/>
      </w:pPr>
      <w:r>
        <w:t xml:space="preserve">A. Internal Silver Diagnostic Results (Table 1)</w:t>
      </w:r>
    </w:p>
    <w:p>
      <w:r>
        <w:t xml:space="preserve">The strongest controlled silver-stage result is that </w:t>
      </w:r>
      <w:r>
        <w:rPr>
          <w:b/>
        </w:rPr>
        <w:t xml:space="preserve">on the controlled silver-stage evaluation</w:t>
      </w:r>
      <w:r>
        <w:t xml:space="preserve">,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(controlled silver-stage evaluation,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On the controlled silver-stage evaluation, 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known trade-off: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 </w:t>
      </w:r>
      <w:r>
        <w:rPr>
          <w:b/>
        </w:rPr>
        <w:t xml:space="preserve">All numbers in this subsection are computed on the controlled silver-stage evaluation.</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computed on the controlled silver-stage evaluation.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on the controlled silver-stage evaluation, LLMs are stronger overall, but R4 targets the strong_action gap observed under the tested prompts.</w:t>
      </w:r>
    </w:p>
    <w:p>
      <w:r>
        <w:rPr>
          <w:b/>
        </w:rPr>
        <w:t xml:space="preserve">Key findings (all computed on the controlled silver-stage evaluation):</w:t>
      </w:r>
    </w:p>
    <w:p>
      <w:pPr>
        <w:pStyle w:val="ListNumber"/>
      </w:pPr>
      <w:r>
        <w:rPr>
          <w:b/>
        </w:rPr>
        <w:t xml:space="preserve">On the controlled silver-stage evaluation, 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on the controlled silver-stage evaluation (precision 1.0, recall 0.04 = 1/25), while reaching macro-F1 0.5270 and contradiction-F1 0.8317 — strong overall, missing strong_action.</w:t>
      </w:r>
    </w:p>
    <w:p>
      <w:pPr>
        <w:pStyle w:val="ListNumber"/>
      </w:pPr>
      <w:r>
        <w:rPr>
          <w:b/>
        </w:rPr>
        <w:t xml:space="preserve">On the controlled silver-stage evaluation, R4 provides targeted complementary value.</w:t>
      </w:r>
      <w:r>
        <w:t xml:space="preserv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(on the controlled silver-stage evaluation)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outperforms LLM judges overall.</w:t>
      </w:r>
      <w:r>
        <w:t xml:space="preserve"> On the controlled silver-stage evaluation,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screening signal on the high-risk boundary class, at the cost of lower overall macro-F1. </w:t>
      </w:r>
      <w:r>
        <w:rPr>
          <w:b/>
        </w:rPr>
        <w:t xml:space="preserve">Two additional prompt designs (decision-tree, few-shot) are pre-registered for gold-subset evaluation in Table G3; if either closes the strong_action gap, the under-detection claim is downgraded per §VII.G criterion 3.</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adjudication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gold adjudication priority; `trusted_case_bank.csv` (18 cases, ≥4 per class) provides clear illustrative cases for paper examples — none claimed as gold.</w:t>
      </w:r>
    </w:p>
    <w:p>
      <w:pPr>
        <w:pStyle w:val="Heading3"/>
      </w:pPr>
      <w:r>
        <w:t xml:space="preserve">D. External Transferability Probe</w:t>
      </w:r>
    </w:p>
    <w:p>
      <w:r>
        <w:t xml:space="preserve">We run a small gold-derived subset evaluation on SciFact and VitaminC. </w:t>
      </w:r>
      <w:r>
        <w:rPr>
          <w:b/>
        </w:rPr>
        <w:t xml:space="preserve">This is an external transferability probe and sanity check, not a validation of the four-class evidence-sufficiency taxonomy.</w:t>
      </w:r>
      <w:r>
        <w:t xml:space="preserve"> 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transferability probe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transferability probes and sanity checks</w:t>
      </w:r>
      <w:r>
        <w:t xml:space="preserve">, not benchmark superiority claims.</w:t>
      </w:r>
    </w:p>
    <w:p>
      <w:pPr>
        <w:pStyle w:val="Heading3"/>
      </w:pPr>
      <w:r>
        <w:t xml:space="preserve">E. Scalar Overstatement Baseline vs. Relation-Specific Screening (RIGOURATE-style Proxy)</w:t>
      </w:r>
    </w:p>
    <w:p>
      <w:r>
        <w:t xml:space="preserve">A natural question raised by RIGOURATE [30] and ForceBench [35] is whether a single continuous scalar overstatement score can subsume the four-class relation taxonomy and provide equivalent screening signal — particularly for the high-risk `strong_action_overclaim` boundary class. This subsection reports a controlled silver-stage evaluation of that question. </w:t>
      </w:r>
      <w:r>
        <w:rPr>
          <w:b/>
        </w:rPr>
        <w:t xml:space="preserve">All numbers in this subsection are computed on the controlled silver-stage evaluation against AI-preannotated, author-screened silver labels.</w:t>
      </w:r>
      <w:r>
        <w:t xml:space="preserve"> The full audit trail is in `D:\ocn\experiments\rigourate_reproduction_and_simclaim_baseline_v1\`.</w:t>
      </w:r>
    </w:p>
    <w:p>
      <w:r>
        <w:rPr>
          <w:b/>
        </w:rPr>
        <w:t xml:space="preserve">Official RIGOURATE reproduction status (BLOCKED).</w:t>
      </w:r>
      <w:r>
        <w:t xml:space="preserve"> As of 2026-07-05, the official RIGOURATE code, data, and fine-tuned model weights are not publicly available. The arXiv v2 paper (12 Jan 2026) carries a placeholder `[Github/HF Link]` URL that has not been replaced; no GitHub repository, HuggingFace model, dataset release, or supplementary material was located via web search. A full official reproduction was therefore not possible from public resources. We instead construct a RIGOURATE-style scalar overstatement proxy baseline and explicitly label it as a proxy, NOT as the official RIGOURATE system. The proxy baseline is documented in `baseline_build_notes.md` and `official_reproduction_status.json` (with `blocked_reason` recorded for each unavailable artifact).</w:t>
      </w:r>
    </w:p>
    <w:p>
      <w:r>
        <w:rPr>
          <w:b/>
        </w:rPr>
        <w:t xml:space="preserve">Three RIGOURATE-style scalar proxy baselines.</w:t>
      </w:r>
      <w:r>
        <w:t xml:space="preserve"> We construct three scalar overstatement scores on the 444 SimClaim pairs:</w:t>
      </w:r>
    </w:p>
    <w:p>
      <w:pPr>
        <w:pStyle w:val="ListBullet"/>
      </w:pPr>
      <w:r>
        <w:rPr>
          <w:b/>
        </w:rPr>
        <w:t xml:space="preserve">(A) `rule_scalar_score`</w:t>
      </w:r>
      <w:r>
        <w:t xml:space="preserve"> — a cue-based 0–3 score (0=supported, 1=mild, 2=strong, 3=contradiction) using priority scoring on action/deployment/safety/policy/generalization/guarantee/always/fully/replace cues plus evidence-limitation cues. Completed for all 444 pairs. This is a hand-crafted baseline; it is NOT the official RIGOURATE score.</w:t>
      </w:r>
    </w:p>
    <w:p>
      <w:pPr>
        <w:pStyle w:val="ListBullet"/>
      </w:pPr>
      <w:r>
        <w:rPr>
          <w:b/>
        </w:rPr>
        <w:t xml:space="preserve">(B) `nli_scalar_score`</w:t>
      </w:r>
      <w:r>
        <w:t xml:space="preserve"> — BLOCKED. The HCM/NLI feature set required for this baseline (s_correct, contradiction, margin, entropy) is not present in the current repository (the `cese_ocn_hcm_v1` directory referenced in earlier working notes does not exist in the active tree). `blocked_reason` recorded for all 444 rows in `rigourate_style_scalar_scores.csv`. We do not fabricate a result for this baseline.</w:t>
      </w:r>
    </w:p>
    <w:p>
      <w:pPr>
        <w:pStyle w:val="ListBullet"/>
      </w:pPr>
      <w:r>
        <w:rPr>
          <w:b/>
        </w:rPr>
        <w:t xml:space="preserve">(C) `llm_scalar_proxy`</w:t>
      </w:r>
      <w:r>
        <w:t xml:space="preserve"> — an LLM-label-derived 0–3 score (supported=0, mild_scope_overclaim=1, strong_action_overclaim=2, contradiction_candidate=3) computed from existing GPT/DeepSeek parsed outputs (no paid API calls; reuses `llm_parsed_outputs_100.csv` and `llm_parsed_outputs_200.csv`). Available for 200/444 matched pairs. This is an LLM-label-derived proxy, NOT a true continuous overstatement score and NOT the official RIGOURATE score.</w:t>
      </w:r>
    </w:p>
    <w:p>
      <w:r>
        <w:rPr>
          <w:b/>
        </w:rPr>
        <w:t xml:space="preserve">Binary-task evaluation (4 tasks, controlled silver-stage evaluation).</w:t>
      </w:r>
      <w:r>
        <w:t xml:space="preserve"> We test whether the scalar scores can separate the four relation classes on four binary tasks: (1) supported vs. overclaim (mild+strong+contra); (2) mild vs. strong; (3) strong vs. contradiction; (4) strong vs. non-strong. ROC-AUC, PR-AUC, best-threshold positive-F1, precision/recall, and threshold sensitivity are reported in `scalar_baseline_binary_results.csv` and `scalar_baseline_threshold_sweep.csv`.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gridCol w:w="2000"/>
      </w:tblGrid>
      <w:tr>
        <w:tc>
          <w:tcPr>
            <w:tcW w:w="2000" w:type="dxa"/>
          </w:tcPr>
          <w:p>
            <w:pPr>
              <w:pStyle w:val="TableCell"/>
            </w:pPr>
            <w:r>
              <w:rPr>
                <w:b/>
              </w:rPr>
              <w:t xml:space="preserve">Task</w:t>
            </w:r>
          </w:p>
        </w:tc>
        <w:tc>
          <w:tcPr>
            <w:tcW w:w="2000" w:type="dxa"/>
          </w:tcPr>
          <w:p>
            <w:pPr>
              <w:pStyle w:val="TableCell"/>
            </w:pPr>
            <w:r>
              <w:rPr>
                <w:b/>
              </w:rPr>
              <w:t xml:space="preserve">Baseline</w:t>
            </w:r>
          </w:p>
        </w:tc>
        <w:tc>
          <w:tcPr>
            <w:tcW w:w="2000" w:type="dxa"/>
          </w:tcPr>
          <w:p>
            <w:pPr>
              <w:pStyle w:val="TableCell"/>
            </w:pPr>
            <w:r>
              <w:rPr>
                <w:b/>
              </w:rPr>
              <w:t xml:space="preserve">N</w:t>
            </w:r>
          </w:p>
        </w:tc>
        <w:tc>
          <w:tcPr>
            <w:tcW w:w="2000" w:type="dxa"/>
          </w:tcPr>
          <w:p>
            <w:pPr>
              <w:pStyle w:val="TableCell"/>
            </w:pPr>
            <w:r>
              <w:rPr>
                <w:b/>
              </w:rPr>
              <w:t xml:space="preserve">ROC-AUC</w:t>
            </w:r>
          </w:p>
        </w:tc>
        <w:tc>
          <w:tcPr>
            <w:tcW w:w="2000" w:type="dxa"/>
          </w:tcPr>
          <w:p>
            <w:pPr>
              <w:pStyle w:val="TableCell"/>
            </w:pPr>
            <w:r>
              <w:rPr>
                <w:b/>
              </w:rPr>
              <w:t xml:space="preserve">PR-AUC</w:t>
            </w:r>
          </w:p>
        </w:tc>
        <w:tc>
          <w:tcPr>
            <w:tcW w:w="2000" w:type="dxa"/>
          </w:tcPr>
          <w:p>
            <w:pPr>
              <w:pStyle w:val="TableCell"/>
            </w:pPr>
            <w:r>
              <w:rPr>
                <w:b/>
              </w:rPr>
              <w:t xml:space="preserve">Best F1</w:t>
            </w:r>
          </w:p>
        </w:tc>
        <w:tc>
          <w:tcPr>
            <w:tcW w:w="2000" w:type="dxa"/>
          </w:tcPr>
          <w:p>
            <w:pPr>
              <w:pStyle w:val="TableCell"/>
            </w:pPr>
            <w:r>
              <w:rPr>
                <w:b/>
              </w:rPr>
              <w:t xml:space="preserve">Best t</w:t>
            </w:r>
          </w:p>
        </w:tc>
        <w:tc>
          <w:tcPr>
            <w:tcW w:w="2000" w:type="dxa"/>
          </w:tcPr>
          <w:p>
            <w:pPr>
              <w:pStyle w:val="TableCell"/>
            </w:pPr>
            <w:r>
              <w:rPr>
                <w:b/>
              </w:rPr>
              <w:t xml:space="preserve">Precision</w:t>
            </w:r>
          </w:p>
        </w:tc>
        <w:tc>
          <w:tcPr>
            <w:tcW w:w="2000" w:type="dxa"/>
          </w:tcPr>
          <w:p>
            <w:pPr>
              <w:pStyle w:val="TableCell"/>
            </w:pPr>
            <w:r>
              <w:rPr>
                <w:b/>
              </w:rPr>
              <w:t xml:space="preserve">Recall</w:t>
            </w:r>
          </w:p>
        </w:tc>
      </w:tr>
      <w:tr>
        <w:tc>
          <w:tcPr>
            <w:tcW w:w="2000" w:type="dxa"/>
          </w:tcPr>
          <w:p>
            <w:pPr>
              <w:pStyle w:val="TableCell"/>
            </w:pPr>
            <w:r>
              <w:t xml:space="preserve">supported_vs_overclaim</w:t>
            </w:r>
          </w:p>
        </w:tc>
        <w:tc>
          <w:tcPr>
            <w:tcW w:w="2000" w:type="dxa"/>
          </w:tcPr>
          <w:p>
            <w:pPr>
              <w:pStyle w:val="TableCell"/>
            </w:pPr>
            <w:r>
              <w:t xml:space="preserve">rule_scalar</w:t>
            </w:r>
          </w:p>
        </w:tc>
        <w:tc>
          <w:tcPr>
            <w:tcW w:w="2000" w:type="dxa"/>
          </w:tcPr>
          <w:p>
            <w:pPr>
              <w:pStyle w:val="TableCell"/>
            </w:pPr>
            <w:r>
              <w:t xml:space="preserve">444</w:t>
            </w:r>
          </w:p>
        </w:tc>
        <w:tc>
          <w:tcPr>
            <w:tcW w:w="2000" w:type="dxa"/>
          </w:tcPr>
          <w:p>
            <w:pPr>
              <w:pStyle w:val="TableCell"/>
            </w:pPr>
            <w:r>
              <w:t xml:space="preserve">0.5136</w:t>
            </w:r>
          </w:p>
        </w:tc>
        <w:tc>
          <w:tcPr>
            <w:tcW w:w="2000" w:type="dxa"/>
          </w:tcPr>
          <w:p>
            <w:pPr>
              <w:pStyle w:val="TableCell"/>
            </w:pPr>
            <w:r>
              <w:t xml:space="preserve">0.7563</w:t>
            </w:r>
          </w:p>
        </w:tc>
        <w:tc>
          <w:tcPr>
            <w:tcW w:w="2000" w:type="dxa"/>
          </w:tcPr>
          <w:p>
            <w:pPr>
              <w:pStyle w:val="TableCell"/>
            </w:pPr>
            <w:r>
              <w:t xml:space="preserve">0.7466</w:t>
            </w:r>
          </w:p>
        </w:tc>
        <w:tc>
          <w:tcPr>
            <w:tcW w:w="2000" w:type="dxa"/>
          </w:tcPr>
          <w:p>
            <w:pPr>
              <w:pStyle w:val="TableCell"/>
            </w:pPr>
            <w:r>
              <w:t xml:space="preserve">1.0</w:t>
            </w:r>
          </w:p>
        </w:tc>
        <w:tc>
          <w:tcPr>
            <w:tcW w:w="2000" w:type="dxa"/>
          </w:tcPr>
          <w:p>
            <w:pPr>
              <w:pStyle w:val="TableCell"/>
            </w:pPr>
            <w:r>
              <w:t xml:space="preserve">0.7546</w:t>
            </w:r>
          </w:p>
        </w:tc>
        <w:tc>
          <w:tcPr>
            <w:tcW w:w="2000" w:type="dxa"/>
          </w:tcPr>
          <w:p>
            <w:pPr>
              <w:pStyle w:val="TableCell"/>
            </w:pPr>
            <w:r>
              <w:t xml:space="preserve">0.7387</w:t>
            </w:r>
          </w:p>
        </w:tc>
      </w:tr>
      <w:tr>
        <w:tc>
          <w:tcPr>
            <w:tcW w:w="2000" w:type="dxa"/>
          </w:tcPr>
          <w:p>
            <w:pPr>
              <w:pStyle w:val="TableCell"/>
            </w:pPr>
            <w:r>
              <w:t xml:space="preserve">supported_vs_overclaim</w:t>
            </w:r>
          </w:p>
        </w:tc>
        <w:tc>
          <w:tcPr>
            <w:tcW w:w="2000" w:type="dxa"/>
          </w:tcPr>
          <w:p>
            <w:pPr>
              <w:pStyle w:val="TableCell"/>
            </w:pPr>
            <w:r>
              <w:t xml:space="preserve">llm_scalar</w:t>
            </w:r>
          </w:p>
        </w:tc>
        <w:tc>
          <w:tcPr>
            <w:tcW w:w="2000" w:type="dxa"/>
          </w:tcPr>
          <w:p>
            <w:pPr>
              <w:pStyle w:val="TableCell"/>
            </w:pPr>
            <w:r>
              <w:t xml:space="preserve">200</w:t>
            </w:r>
          </w:p>
        </w:tc>
        <w:tc>
          <w:tcPr>
            <w:tcW w:w="2000" w:type="dxa"/>
          </w:tcPr>
          <w:p>
            <w:pPr>
              <w:pStyle w:val="TableCell"/>
            </w:pPr>
            <w:r>
              <w:t xml:space="preserve">0.8533</w:t>
            </w:r>
          </w:p>
        </w:tc>
        <w:tc>
          <w:tcPr>
            <w:tcW w:w="2000" w:type="dxa"/>
          </w:tcPr>
          <w:p>
            <w:pPr>
              <w:pStyle w:val="TableCell"/>
            </w:pPr>
            <w:r>
              <w:t xml:space="preserve">0.9267</w:t>
            </w:r>
          </w:p>
        </w:tc>
        <w:tc>
          <w:tcPr>
            <w:tcW w:w="2000" w:type="dxa"/>
          </w:tcPr>
          <w:p>
            <w:pPr>
              <w:pStyle w:val="TableCell"/>
            </w:pPr>
            <w:r>
              <w:t xml:space="preserve">0.8281</w:t>
            </w:r>
          </w:p>
        </w:tc>
        <w:tc>
          <w:tcPr>
            <w:tcW w:w="2000" w:type="dxa"/>
          </w:tcPr>
          <w:p>
            <w:pPr>
              <w:pStyle w:val="TableCell"/>
            </w:pPr>
            <w:r>
              <w:t xml:space="preserve">1.0</w:t>
            </w:r>
          </w:p>
        </w:tc>
        <w:tc>
          <w:tcPr>
            <w:tcW w:w="2000" w:type="dxa"/>
          </w:tcPr>
          <w:p>
            <w:pPr>
              <w:pStyle w:val="TableCell"/>
            </w:pPr>
            <w:r>
              <w:t xml:space="preserve">1.0000</w:t>
            </w:r>
          </w:p>
        </w:tc>
        <w:tc>
          <w:tcPr>
            <w:tcW w:w="2000" w:type="dxa"/>
          </w:tcPr>
          <w:p>
            <w:pPr>
              <w:pStyle w:val="TableCell"/>
            </w:pPr>
            <w:r>
              <w:t xml:space="preserve">0.7067</w:t>
            </w:r>
          </w:p>
        </w:tc>
      </w:tr>
      <w:tr>
        <w:tc>
          <w:tcPr>
            <w:tcW w:w="2000" w:type="dxa"/>
          </w:tcPr>
          <w:p>
            <w:pPr>
              <w:pStyle w:val="TableCell"/>
            </w:pPr>
            <w:r>
              <w:t xml:space="preserve">mild_vs_strong</w:t>
            </w:r>
          </w:p>
        </w:tc>
        <w:tc>
          <w:tcPr>
            <w:tcW w:w="2000" w:type="dxa"/>
          </w:tcPr>
          <w:p>
            <w:pPr>
              <w:pStyle w:val="TableCell"/>
            </w:pPr>
            <w:r>
              <w:t xml:space="preserve">rule_scalar</w:t>
            </w:r>
          </w:p>
        </w:tc>
        <w:tc>
          <w:tcPr>
            <w:tcW w:w="2000" w:type="dxa"/>
          </w:tcPr>
          <w:p>
            <w:pPr>
              <w:pStyle w:val="TableCell"/>
            </w:pPr>
            <w:r>
              <w:t xml:space="preserve">222</w:t>
            </w:r>
          </w:p>
        </w:tc>
        <w:tc>
          <w:tcPr>
            <w:tcW w:w="2000" w:type="dxa"/>
          </w:tcPr>
          <w:p>
            <w:pPr>
              <w:pStyle w:val="TableCell"/>
            </w:pPr>
            <w:r>
              <w:t xml:space="preserve">0.5062</w:t>
            </w:r>
          </w:p>
        </w:tc>
        <w:tc>
          <w:tcPr>
            <w:tcW w:w="2000" w:type="dxa"/>
          </w:tcPr>
          <w:p>
            <w:pPr>
              <w:pStyle w:val="TableCell"/>
            </w:pPr>
            <w:r>
              <w:t xml:space="preserve">0.5016</w:t>
            </w:r>
          </w:p>
        </w:tc>
        <w:tc>
          <w:tcPr>
            <w:tcW w:w="2000" w:type="dxa"/>
          </w:tcPr>
          <w:p>
            <w:pPr>
              <w:pStyle w:val="TableCell"/>
            </w:pPr>
            <w:r>
              <w:t xml:space="preserve">0.6109</w:t>
            </w:r>
          </w:p>
        </w:tc>
        <w:tc>
          <w:tcPr>
            <w:tcW w:w="2000" w:type="dxa"/>
          </w:tcPr>
          <w:p>
            <w:pPr>
              <w:pStyle w:val="TableCell"/>
            </w:pPr>
            <w:r>
              <w:t xml:space="preserve">1.0</w:t>
            </w:r>
          </w:p>
        </w:tc>
        <w:tc>
          <w:tcPr>
            <w:tcW w:w="2000" w:type="dxa"/>
          </w:tcPr>
          <w:p>
            <w:pPr>
              <w:pStyle w:val="TableCell"/>
            </w:pPr>
            <w:r>
              <w:t xml:space="preserve">0.5122</w:t>
            </w:r>
          </w:p>
        </w:tc>
        <w:tc>
          <w:tcPr>
            <w:tcW w:w="2000" w:type="dxa"/>
          </w:tcPr>
          <w:p>
            <w:pPr>
              <w:pStyle w:val="TableCell"/>
            </w:pPr>
            <w:r>
              <w:t xml:space="preserve">0.7568</w:t>
            </w:r>
          </w:p>
        </w:tc>
      </w:tr>
      <w:tr>
        <w:tc>
          <w:tcPr>
            <w:tcW w:w="2000" w:type="dxa"/>
          </w:tcPr>
          <w:p>
            <w:pPr>
              <w:pStyle w:val="TableCell"/>
            </w:pPr>
            <w:r>
              <w:t xml:space="preserve">mild_vs_strong</w:t>
            </w:r>
          </w:p>
        </w:tc>
        <w:tc>
          <w:tcPr>
            <w:tcW w:w="2000" w:type="dxa"/>
          </w:tcPr>
          <w:p>
            <w:pPr>
              <w:pStyle w:val="TableCell"/>
            </w:pPr>
            <w:r>
              <w:t xml:space="preserve">llm_scalar</w:t>
            </w:r>
          </w:p>
        </w:tc>
        <w:tc>
          <w:tcPr>
            <w:tcW w:w="2000" w:type="dxa"/>
          </w:tcPr>
          <w:p>
            <w:pPr>
              <w:pStyle w:val="TableCell"/>
            </w:pPr>
            <w:r>
              <w:t xml:space="preserve">100</w:t>
            </w:r>
          </w:p>
        </w:tc>
        <w:tc>
          <w:tcPr>
            <w:tcW w:w="2000" w:type="dxa"/>
          </w:tcPr>
          <w:p>
            <w:pPr>
              <w:pStyle w:val="TableCell"/>
            </w:pPr>
            <w:r>
              <w:t xml:space="preserve">0.5874</w:t>
            </w:r>
          </w:p>
        </w:tc>
        <w:tc>
          <w:tcPr>
            <w:tcW w:w="2000" w:type="dxa"/>
          </w:tcPr>
          <w:p>
            <w:pPr>
              <w:pStyle w:val="TableCell"/>
            </w:pPr>
            <w:r>
              <w:t xml:space="preserve">0.5931</w:t>
            </w:r>
          </w:p>
        </w:tc>
        <w:tc>
          <w:tcPr>
            <w:tcW w:w="2000" w:type="dxa"/>
          </w:tcPr>
          <w:p>
            <w:pPr>
              <w:pStyle w:val="TableCell"/>
            </w:pPr>
            <w:r>
              <w:t xml:space="preserve">0.5741</w:t>
            </w:r>
          </w:p>
        </w:tc>
        <w:tc>
          <w:tcPr>
            <w:tcW w:w="2000" w:type="dxa"/>
          </w:tcPr>
          <w:p>
            <w:pPr>
              <w:pStyle w:val="TableCell"/>
            </w:pPr>
            <w:r>
              <w:t xml:space="preserve">1.0</w:t>
            </w:r>
          </w:p>
        </w:tc>
        <w:tc>
          <w:tcPr>
            <w:tcW w:w="2000" w:type="dxa"/>
          </w:tcPr>
          <w:p>
            <w:pPr>
              <w:pStyle w:val="TableCell"/>
            </w:pPr>
            <w:r>
              <w:t xml:space="preserve">0.5345</w:t>
            </w:r>
          </w:p>
        </w:tc>
        <w:tc>
          <w:tcPr>
            <w:tcW w:w="2000" w:type="dxa"/>
          </w:tcPr>
          <w:p>
            <w:pPr>
              <w:pStyle w:val="TableCell"/>
            </w:pPr>
            <w:r>
              <w:t xml:space="preserve">0.6200</w:t>
            </w:r>
          </w:p>
        </w:tc>
      </w:tr>
      <w:tr>
        <w:tc>
          <w:tcPr>
            <w:tcW w:w="2000" w:type="dxa"/>
          </w:tcPr>
          <w:p>
            <w:pPr>
              <w:pStyle w:val="TableCell"/>
            </w:pPr>
            <w:r>
              <w:t xml:space="preserve">strong_vs_contradiction</w:t>
            </w:r>
          </w:p>
        </w:tc>
        <w:tc>
          <w:tcPr>
            <w:tcW w:w="2000" w:type="dxa"/>
          </w:tcPr>
          <w:p>
            <w:pPr>
              <w:pStyle w:val="TableCell"/>
            </w:pPr>
            <w:r>
              <w:t xml:space="preserve">rule_scalar</w:t>
            </w:r>
          </w:p>
        </w:tc>
        <w:tc>
          <w:tcPr>
            <w:tcW w:w="2000" w:type="dxa"/>
          </w:tcPr>
          <w:p>
            <w:pPr>
              <w:pStyle w:val="TableCell"/>
            </w:pPr>
            <w:r>
              <w:t xml:space="preserve">222</w:t>
            </w:r>
          </w:p>
        </w:tc>
        <w:tc>
          <w:tcPr>
            <w:tcW w:w="2000" w:type="dxa"/>
          </w:tcPr>
          <w:p>
            <w:pPr>
              <w:pStyle w:val="TableCell"/>
            </w:pPr>
            <w:r>
              <w:t xml:space="preserve">0.5233</w:t>
            </w:r>
          </w:p>
        </w:tc>
        <w:tc>
          <w:tcPr>
            <w:tcW w:w="2000" w:type="dxa"/>
          </w:tcPr>
          <w:p>
            <w:pPr>
              <w:pStyle w:val="TableCell"/>
            </w:pPr>
            <w:r>
              <w:t xml:space="preserve">0.5209</w:t>
            </w:r>
          </w:p>
        </w:tc>
        <w:tc>
          <w:tcPr>
            <w:tcW w:w="2000" w:type="dxa"/>
          </w:tcPr>
          <w:p>
            <w:pPr>
              <w:pStyle w:val="TableCell"/>
            </w:pPr>
            <w:r>
              <w:t xml:space="preserve">0.5921</w:t>
            </w:r>
          </w:p>
        </w:tc>
        <w:tc>
          <w:tcPr>
            <w:tcW w:w="2000" w:type="dxa"/>
          </w:tcPr>
          <w:p>
            <w:pPr>
              <w:pStyle w:val="TableCell"/>
            </w:pPr>
            <w:r>
              <w:t xml:space="preserve">1.0</w:t>
            </w:r>
          </w:p>
        </w:tc>
        <w:tc>
          <w:tcPr>
            <w:tcW w:w="2000" w:type="dxa"/>
          </w:tcPr>
          <w:p>
            <w:pPr>
              <w:pStyle w:val="TableCell"/>
            </w:pPr>
            <w:r>
              <w:t xml:space="preserve">0.4940</w:t>
            </w:r>
          </w:p>
        </w:tc>
        <w:tc>
          <w:tcPr>
            <w:tcW w:w="2000" w:type="dxa"/>
          </w:tcPr>
          <w:p>
            <w:pPr>
              <w:pStyle w:val="TableCell"/>
            </w:pPr>
            <w:r>
              <w:t xml:space="preserve">0.7387</w:t>
            </w:r>
          </w:p>
        </w:tc>
      </w:tr>
      <w:tr>
        <w:tc>
          <w:tcPr>
            <w:tcW w:w="2000" w:type="dxa"/>
          </w:tcPr>
          <w:p>
            <w:pPr>
              <w:pStyle w:val="TableCell"/>
            </w:pPr>
            <w:r>
              <w:t xml:space="preserve">strong_vs_contradiction</w:t>
            </w:r>
          </w:p>
        </w:tc>
        <w:tc>
          <w:tcPr>
            <w:tcW w:w="2000" w:type="dxa"/>
          </w:tcPr>
          <w:p>
            <w:pPr>
              <w:pStyle w:val="TableCell"/>
            </w:pPr>
            <w:r>
              <w:t xml:space="preserve">llm_scalar</w:t>
            </w:r>
          </w:p>
        </w:tc>
        <w:tc>
          <w:tcPr>
            <w:tcW w:w="2000" w:type="dxa"/>
          </w:tcPr>
          <w:p>
            <w:pPr>
              <w:pStyle w:val="TableCell"/>
            </w:pPr>
            <w:r>
              <w:t xml:space="preserve">100</w:t>
            </w:r>
          </w:p>
        </w:tc>
        <w:tc>
          <w:tcPr>
            <w:tcW w:w="2000" w:type="dxa"/>
          </w:tcPr>
          <w:p>
            <w:pPr>
              <w:pStyle w:val="TableCell"/>
            </w:pPr>
            <w:r>
              <w:t xml:space="preserve">0.8512</w:t>
            </w:r>
          </w:p>
        </w:tc>
        <w:tc>
          <w:tcPr>
            <w:tcW w:w="2000" w:type="dxa"/>
          </w:tcPr>
          <w:p>
            <w:pPr>
              <w:pStyle w:val="TableCell"/>
            </w:pPr>
            <w:r>
              <w:t xml:space="preserve">0.7985</w:t>
            </w:r>
          </w:p>
        </w:tc>
        <w:tc>
          <w:tcPr>
            <w:tcW w:w="2000" w:type="dxa"/>
          </w:tcPr>
          <w:p>
            <w:pPr>
              <w:pStyle w:val="TableCell"/>
            </w:pPr>
            <w:r>
              <w:t xml:space="preserve">0.8400</w:t>
            </w:r>
          </w:p>
        </w:tc>
        <w:tc>
          <w:tcPr>
            <w:tcW w:w="2000" w:type="dxa"/>
          </w:tcPr>
          <w:p>
            <w:pPr>
              <w:pStyle w:val="TableCell"/>
            </w:pPr>
            <w:r>
              <w:t xml:space="preserve">3.0</w:t>
            </w:r>
          </w:p>
        </w:tc>
        <w:tc>
          <w:tcPr>
            <w:tcW w:w="2000" w:type="dxa"/>
          </w:tcPr>
          <w:p>
            <w:pPr>
              <w:pStyle w:val="TableCell"/>
            </w:pPr>
            <w:r>
              <w:t xml:space="preserve">0.8400</w:t>
            </w:r>
          </w:p>
        </w:tc>
        <w:tc>
          <w:tcPr>
            <w:tcW w:w="2000" w:type="dxa"/>
          </w:tcPr>
          <w:p>
            <w:pPr>
              <w:pStyle w:val="TableCell"/>
            </w:pPr>
            <w:r>
              <w:t xml:space="preserve">0.8400</w:t>
            </w:r>
          </w:p>
        </w:tc>
      </w:tr>
      <w:tr>
        <w:tc>
          <w:tcPr>
            <w:tcW w:w="2000" w:type="dxa"/>
          </w:tcPr>
          <w:p>
            <w:pPr>
              <w:pStyle w:val="TableCell"/>
            </w:pPr>
            <w:r>
              <w:t xml:space="preserve">strong_vs_nonstrong</w:t>
            </w:r>
          </w:p>
        </w:tc>
        <w:tc>
          <w:tcPr>
            <w:tcW w:w="2000" w:type="dxa"/>
          </w:tcPr>
          <w:p>
            <w:pPr>
              <w:pStyle w:val="TableCell"/>
            </w:pPr>
            <w:r>
              <w:t xml:space="preserve">rule_scalar</w:t>
            </w:r>
          </w:p>
        </w:tc>
        <w:tc>
          <w:tcPr>
            <w:tcW w:w="2000" w:type="dxa"/>
          </w:tcPr>
          <w:p>
            <w:pPr>
              <w:pStyle w:val="TableCell"/>
            </w:pPr>
            <w:r>
              <w:t xml:space="preserve">444</w:t>
            </w:r>
          </w:p>
        </w:tc>
        <w:tc>
          <w:tcPr>
            <w:tcW w:w="2000" w:type="dxa"/>
          </w:tcPr>
          <w:p>
            <w:pPr>
              <w:pStyle w:val="TableCell"/>
            </w:pPr>
            <w:r>
              <w:t xml:space="preserve">0.4971</w:t>
            </w:r>
          </w:p>
        </w:tc>
        <w:tc>
          <w:tcPr>
            <w:tcW w:w="2000" w:type="dxa"/>
          </w:tcPr>
          <w:p>
            <w:pPr>
              <w:pStyle w:val="TableCell"/>
            </w:pPr>
            <w:r>
              <w:t xml:space="preserve">0.2464</w:t>
            </w:r>
          </w:p>
        </w:tc>
        <w:tc>
          <w:tcPr>
            <w:tcW w:w="2000" w:type="dxa"/>
          </w:tcPr>
          <w:p>
            <w:pPr>
              <w:pStyle w:val="TableCell"/>
            </w:pPr>
            <w:r>
              <w:t xml:space="preserve">0.3844</w:t>
            </w:r>
          </w:p>
        </w:tc>
        <w:tc>
          <w:tcPr>
            <w:tcW w:w="2000" w:type="dxa"/>
          </w:tcPr>
          <w:p>
            <w:pPr>
              <w:pStyle w:val="TableCell"/>
            </w:pPr>
            <w:r>
              <w:t xml:space="preserve">1.0</w:t>
            </w:r>
          </w:p>
        </w:tc>
        <w:tc>
          <w:tcPr>
            <w:tcW w:w="2000" w:type="dxa"/>
          </w:tcPr>
          <w:p>
            <w:pPr>
              <w:pStyle w:val="TableCell"/>
            </w:pPr>
            <w:r>
              <w:t xml:space="preserve">0.2577</w:t>
            </w:r>
          </w:p>
        </w:tc>
        <w:tc>
          <w:tcPr>
            <w:tcW w:w="2000" w:type="dxa"/>
          </w:tcPr>
          <w:p>
            <w:pPr>
              <w:pStyle w:val="TableCell"/>
            </w:pPr>
            <w:r>
              <w:t xml:space="preserve">0.7568</w:t>
            </w:r>
          </w:p>
        </w:tc>
      </w:tr>
      <w:tr>
        <w:tc>
          <w:tcPr>
            <w:tcW w:w="2000" w:type="dxa"/>
          </w:tcPr>
          <w:p>
            <w:pPr>
              <w:pStyle w:val="TableCell"/>
            </w:pPr>
            <w:r>
              <w:t xml:space="preserve">strong_vs_nonstrong</w:t>
            </w:r>
          </w:p>
        </w:tc>
        <w:tc>
          <w:tcPr>
            <w:tcW w:w="2000" w:type="dxa"/>
          </w:tcPr>
          <w:p>
            <w:pPr>
              <w:pStyle w:val="TableCell"/>
            </w:pPr>
            <w:r>
              <w:t xml:space="preserve">llm_scalar</w:t>
            </w:r>
          </w:p>
        </w:tc>
        <w:tc>
          <w:tcPr>
            <w:tcW w:w="2000" w:type="dxa"/>
          </w:tcPr>
          <w:p>
            <w:pPr>
              <w:pStyle w:val="TableCell"/>
            </w:pPr>
            <w:r>
              <w:t xml:space="preserve">200</w:t>
            </w:r>
          </w:p>
        </w:tc>
        <w:tc>
          <w:tcPr>
            <w:tcW w:w="2000" w:type="dxa"/>
          </w:tcPr>
          <w:p>
            <w:pPr>
              <w:pStyle w:val="TableCell"/>
            </w:pPr>
            <w:r>
              <w:t xml:space="preserve">0.5154</w:t>
            </w:r>
          </w:p>
        </w:tc>
        <w:tc>
          <w:tcPr>
            <w:tcW w:w="2000" w:type="dxa"/>
          </w:tcPr>
          <w:p>
            <w:pPr>
              <w:pStyle w:val="TableCell"/>
            </w:pPr>
            <w:r>
              <w:t xml:space="preserve">0.2505</w:t>
            </w:r>
          </w:p>
        </w:tc>
        <w:tc>
          <w:tcPr>
            <w:tcW w:w="2000" w:type="dxa"/>
          </w:tcPr>
          <w:p>
            <w:pPr>
              <w:pStyle w:val="TableCell"/>
            </w:pPr>
            <w:r>
              <w:t xml:space="preserve">0.3974</w:t>
            </w:r>
          </w:p>
        </w:tc>
        <w:tc>
          <w:tcPr>
            <w:tcW w:w="2000" w:type="dxa"/>
          </w:tcPr>
          <w:p>
            <w:pPr>
              <w:pStyle w:val="TableCell"/>
            </w:pPr>
            <w:r>
              <w:t xml:space="preserve">1.0</w:t>
            </w:r>
          </w:p>
        </w:tc>
        <w:tc>
          <w:tcPr>
            <w:tcW w:w="2000" w:type="dxa"/>
          </w:tcPr>
          <w:p>
            <w:pPr>
              <w:pStyle w:val="TableCell"/>
            </w:pPr>
            <w:r>
              <w:t xml:space="preserve">0.2925</w:t>
            </w:r>
          </w:p>
        </w:tc>
        <w:tc>
          <w:tcPr>
            <w:tcW w:w="2000" w:type="dxa"/>
          </w:tcPr>
          <w:p>
            <w:pPr>
              <w:pStyle w:val="TableCell"/>
            </w:pPr>
            <w:r>
              <w:t xml:space="preserve">0.6200</w:t>
            </w:r>
          </w:p>
        </w:tc>
      </w:tr>
    </w:tbl>
    <w:p>
      <w:r>
        <w:rPr>
          <w:b/>
        </w:rPr>
        <w:t xml:space="preserve">Head-to-head comparison against R4 (100 matched samples, 25 strong_action each).</w:t>
      </w:r>
      <w:r>
        <w:t xml:space="preserve"> We compare five methods on strong_action_overclaim identification. The full per-sample predictions and metrics are in `rigourate_style_vs_r4_results.csv` and `rigourate_style_vs_r4_cases.csv`.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Strong Precision</w:t>
            </w:r>
          </w:p>
        </w:tc>
        <w:tc>
          <w:tcPr>
            <w:tcW w:w="2000" w:type="dxa"/>
          </w:tcPr>
          <w:p>
            <w:pPr>
              <w:pStyle w:val="TableCell"/>
            </w:pPr>
            <w:r>
              <w:rPr>
                <w:b/>
              </w:rPr>
              <w:t xml:space="preserve">TP</w:t>
            </w:r>
          </w:p>
        </w:tc>
        <w:tc>
          <w:tcPr>
            <w:tcW w:w="2000" w:type="dxa"/>
          </w:tcPr>
          <w:p>
            <w:pPr>
              <w:pStyle w:val="TableCell"/>
            </w:pPr>
            <w:r>
              <w:rPr>
                <w:b/>
              </w:rPr>
              <w:t xml:space="preserve">FP</w:t>
            </w:r>
          </w:p>
        </w:tc>
        <w:tc>
          <w:tcPr>
            <w:tcW w:w="2000" w:type="dxa"/>
          </w:tcPr>
          <w:p>
            <w:pPr>
              <w:pStyle w:val="TableCell"/>
            </w:pPr>
            <w:r>
              <w:rPr>
                <w:b/>
              </w:rPr>
              <w:t xml:space="preserve">Review Burden</w:t>
            </w:r>
          </w:p>
        </w:tc>
        <w:tc>
          <w:tcPr>
            <w:tcW w:w="2000" w:type="dxa"/>
          </w:tcPr>
          <w:p>
            <w:pPr>
              <w:pStyle w:val="TableCell"/>
            </w:pPr>
            <w:r>
              <w:rPr>
                <w:b/>
              </w:rPr>
              <w:t xml:space="preserve">Macro-F1 (aux)</w:t>
            </w:r>
          </w:p>
        </w:tc>
      </w:tr>
      <w:tr>
        <w:tc>
          <w:tcPr>
            <w:tcW w:w="2000" w:type="dxa"/>
          </w:tcPr>
          <w:p>
            <w:pPr>
              <w:pStyle w:val="TableCell"/>
            </w:pPr>
            <w:r>
              <w:t xml:space="preserve">rule_scalar (proxy)</w:t>
            </w:r>
          </w:p>
        </w:tc>
        <w:tc>
          <w:tcPr>
            <w:tcW w:w="2000" w:type="dxa"/>
          </w:tcPr>
          <w:p>
            <w:pPr>
              <w:pStyle w:val="TableCell"/>
            </w:pPr>
            <w:r>
              <w:t xml:space="preserve">0.1364</w:t>
            </w:r>
          </w:p>
        </w:tc>
        <w:tc>
          <w:tcPr>
            <w:tcW w:w="2000" w:type="dxa"/>
          </w:tcPr>
          <w:p>
            <w:pPr>
              <w:pStyle w:val="TableCell"/>
            </w:pPr>
            <w:r>
              <w:t xml:space="preserve">0.12</w:t>
            </w:r>
          </w:p>
        </w:tc>
        <w:tc>
          <w:tcPr>
            <w:tcW w:w="2000" w:type="dxa"/>
          </w:tcPr>
          <w:p>
            <w:pPr>
              <w:pStyle w:val="TableCell"/>
            </w:pPr>
            <w:r>
              <w:t xml:space="preserve">0.158</w:t>
            </w:r>
          </w:p>
        </w:tc>
        <w:tc>
          <w:tcPr>
            <w:tcW w:w="2000" w:type="dxa"/>
          </w:tcPr>
          <w:p>
            <w:pPr>
              <w:pStyle w:val="TableCell"/>
            </w:pPr>
            <w:r>
              <w:t xml:space="preserve">3</w:t>
            </w:r>
          </w:p>
        </w:tc>
        <w:tc>
          <w:tcPr>
            <w:tcW w:w="2000" w:type="dxa"/>
          </w:tcPr>
          <w:p>
            <w:pPr>
              <w:pStyle w:val="TableCell"/>
            </w:pPr>
            <w:r>
              <w:t xml:space="preserve">16</w:t>
            </w:r>
          </w:p>
        </w:tc>
        <w:tc>
          <w:tcPr>
            <w:tcW w:w="2000" w:type="dxa"/>
          </w:tcPr>
          <w:p>
            <w:pPr>
              <w:pStyle w:val="TableCell"/>
            </w:pPr>
            <w:r>
              <w:t xml:space="preserve">19%</w:t>
            </w:r>
          </w:p>
        </w:tc>
        <w:tc>
          <w:tcPr>
            <w:tcW w:w="2000" w:type="dxa"/>
          </w:tcPr>
          <w:p>
            <w:pPr>
              <w:pStyle w:val="TableCell"/>
            </w:pPr>
            <w:r>
              <w:t xml:space="preserve">0.2591</w:t>
            </w:r>
          </w:p>
        </w:tc>
      </w:tr>
      <w:tr>
        <w:tc>
          <w:tcPr>
            <w:tcW w:w="2000" w:type="dxa"/>
          </w:tcPr>
          <w:p>
            <w:pPr>
              <w:pStyle w:val="TableCell"/>
            </w:pPr>
            <w:r>
              <w:t xml:space="preserve">GPT-5.5 standard</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1.0</w:t>
            </w:r>
          </w:p>
        </w:tc>
        <w:tc>
          <w:tcPr>
            <w:tcW w:w="2000" w:type="dxa"/>
          </w:tcPr>
          <w:p>
            <w:pPr>
              <w:pStyle w:val="TableCell"/>
            </w:pPr>
            <w:r>
              <w:t xml:space="preserve">1</w:t>
            </w:r>
          </w:p>
        </w:tc>
        <w:tc>
          <w:tcPr>
            <w:tcW w:w="2000" w:type="dxa"/>
          </w:tcPr>
          <w:p>
            <w:pPr>
              <w:pStyle w:val="TableCell"/>
            </w:pPr>
            <w:r>
              <w:t xml:space="preserve">0</w:t>
            </w:r>
          </w:p>
        </w:tc>
        <w:tc>
          <w:tcPr>
            <w:tcW w:w="2000" w:type="dxa"/>
          </w:tcPr>
          <w:p>
            <w:pPr>
              <w:pStyle w:val="TableCell"/>
            </w:pPr>
            <w:r>
              <w:t xml:space="preserve">1%</w:t>
            </w:r>
          </w:p>
        </w:tc>
        <w:tc>
          <w:tcPr>
            <w:tcW w:w="2000" w:type="dxa"/>
          </w:tcPr>
          <w:p>
            <w:pPr>
              <w:pStyle w:val="TableCell"/>
            </w:pPr>
            <w:r>
              <w:t xml:space="preserve">0.5523</w:t>
            </w:r>
          </w:p>
        </w:tc>
      </w:tr>
      <w:tr>
        <w:tc>
          <w:tcPr>
            <w:tcW w:w="2000" w:type="dxa"/>
          </w:tcPr>
          <w:p>
            <w:pPr>
              <w:pStyle w:val="TableCell"/>
            </w:pPr>
            <w:r>
              <w:t xml:space="preserve">GPT-5.5 structured (5-step)</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1.0</w:t>
            </w:r>
          </w:p>
        </w:tc>
        <w:tc>
          <w:tcPr>
            <w:tcW w:w="2000" w:type="dxa"/>
          </w:tcPr>
          <w:p>
            <w:pPr>
              <w:pStyle w:val="TableCell"/>
            </w:pPr>
            <w:r>
              <w:t xml:space="preserve">1</w:t>
            </w:r>
          </w:p>
        </w:tc>
        <w:tc>
          <w:tcPr>
            <w:tcW w:w="2000" w:type="dxa"/>
          </w:tcPr>
          <w:p>
            <w:pPr>
              <w:pStyle w:val="TableCell"/>
            </w:pPr>
            <w:r>
              <w:t xml:space="preserve">0</w:t>
            </w:r>
          </w:p>
        </w:tc>
        <w:tc>
          <w:tcPr>
            <w:tcW w:w="2000" w:type="dxa"/>
          </w:tcPr>
          <w:p>
            <w:pPr>
              <w:pStyle w:val="TableCell"/>
            </w:pPr>
            <w:r>
              <w:t xml:space="preserve">1%</w:t>
            </w:r>
          </w:p>
        </w:tc>
        <w:tc>
          <w:tcPr>
            <w:tcW w:w="2000" w:type="dxa"/>
          </w:tcPr>
          <w:p>
            <w:pPr>
              <w:pStyle w:val="TableCell"/>
            </w:pPr>
            <w:r>
              <w:t xml:space="preserve">0.5543</w:t>
            </w:r>
          </w:p>
        </w:tc>
      </w:tr>
      <w:tr>
        <w:tc>
          <w:tcPr>
            <w:tcW w:w="2000" w:type="dxa"/>
          </w:tcPr>
          <w:p>
            <w:pPr>
              <w:pStyle w:val="TableCell"/>
            </w:pPr>
            <w:r>
              <w:t xml:space="preserve">DeepSeek-V3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1.0</w:t>
            </w:r>
          </w:p>
        </w:tc>
        <w:tc>
          <w:tcPr>
            <w:tcW w:w="2000" w:type="dxa"/>
          </w:tcPr>
          <w:p>
            <w:pPr>
              <w:pStyle w:val="TableCell"/>
            </w:pPr>
            <w:r>
              <w:t xml:space="preserve">1</w:t>
            </w:r>
          </w:p>
        </w:tc>
        <w:tc>
          <w:tcPr>
            <w:tcW w:w="2000" w:type="dxa"/>
          </w:tcPr>
          <w:p>
            <w:pPr>
              <w:pStyle w:val="TableCell"/>
            </w:pPr>
            <w:r>
              <w:t xml:space="preserve">0</w:t>
            </w:r>
          </w:p>
        </w:tc>
        <w:tc>
          <w:tcPr>
            <w:tcW w:w="2000" w:type="dxa"/>
          </w:tcPr>
          <w:p>
            <w:pPr>
              <w:pStyle w:val="TableCell"/>
            </w:pPr>
            <w:r>
              <w:t xml:space="preserve">1%</w:t>
            </w:r>
          </w:p>
        </w:tc>
        <w:tc>
          <w:tcPr>
            <w:tcW w:w="2000" w:type="dxa"/>
          </w:tcPr>
          <w:p>
            <w:pPr>
              <w:pStyle w:val="TableCell"/>
            </w:pPr>
            <w:r>
              <w:t xml:space="preserve">0.5248</w:t>
            </w:r>
          </w:p>
        </w:tc>
      </w:tr>
      <w:tr>
        <w:tc>
          <w:tcPr>
            <w:tcW w:w="2000" w:type="dxa"/>
          </w:tcPr>
          <w:p>
            <w:pPr>
              <w:pStyle w:val="TableCell"/>
            </w:pPr>
            <w:r>
              <w:rPr>
                <w:b/>
              </w:rPr>
              <w:t xml:space="preserve">R4 frozen</w:t>
            </w:r>
          </w:p>
        </w:tc>
        <w:tc>
          <w:tcPr>
            <w:tcW w:w="2000" w:type="dxa"/>
          </w:tcPr>
          <w:p>
            <w:pPr>
              <w:pStyle w:val="TableCell"/>
            </w:pPr>
            <w:r>
              <w:rPr>
                <w:b/>
              </w:rPr>
              <w:t xml:space="preserve">0.3000</w:t>
            </w:r>
          </w:p>
        </w:tc>
        <w:tc>
          <w:tcPr>
            <w:tcW w:w="2000" w:type="dxa"/>
          </w:tcPr>
          <w:p>
            <w:pPr>
              <w:pStyle w:val="TableCell"/>
            </w:pPr>
            <w:r>
              <w:rPr>
                <w:b/>
              </w:rPr>
              <w:t xml:space="preserve">0.36</w:t>
            </w:r>
          </w:p>
        </w:tc>
        <w:tc>
          <w:tcPr>
            <w:tcW w:w="2000" w:type="dxa"/>
          </w:tcPr>
          <w:p>
            <w:pPr>
              <w:pStyle w:val="TableCell"/>
            </w:pPr>
            <w:r>
              <w:t xml:space="preserve">0.257</w:t>
            </w:r>
          </w:p>
        </w:tc>
        <w:tc>
          <w:tcPr>
            <w:tcW w:w="2000" w:type="dxa"/>
          </w:tcPr>
          <w:p>
            <w:pPr>
              <w:pStyle w:val="TableCell"/>
            </w:pPr>
            <w:r>
              <w:t xml:space="preserve">9</w:t>
            </w:r>
          </w:p>
        </w:tc>
        <w:tc>
          <w:tcPr>
            <w:tcW w:w="2000" w:type="dxa"/>
          </w:tcPr>
          <w:p>
            <w:pPr>
              <w:pStyle w:val="TableCell"/>
            </w:pPr>
            <w:r>
              <w:t xml:space="preserve">26</w:t>
            </w:r>
          </w:p>
        </w:tc>
        <w:tc>
          <w:tcPr>
            <w:tcW w:w="2000" w:type="dxa"/>
          </w:tcPr>
          <w:p>
            <w:pPr>
              <w:pStyle w:val="TableCell"/>
            </w:pPr>
            <w:r>
              <w:t xml:space="preserve">35%</w:t>
            </w:r>
          </w:p>
        </w:tc>
        <w:tc>
          <w:tcPr>
            <w:tcW w:w="2000" w:type="dxa"/>
          </w:tcPr>
          <w:p>
            <w:pPr>
              <w:pStyle w:val="TableCell"/>
            </w:pPr>
            <w:r>
              <w:t xml:space="preserve">0.3280</w:t>
            </w:r>
          </w:p>
        </w:tc>
      </w:tr>
    </w:tbl>
    <w:p>
      <w:r>
        <w:t xml:space="preserve">Reference (silver 444, not on matched 100): R4 strong_F1 = 0.3967, strong_recall = 0.4562, strong_precision = 0.3791, macro-F1 = 0.4238.</w:t>
      </w:r>
    </w:p>
    <w:p>
      <w:r>
        <w:rPr>
          <w:b/>
        </w:rPr>
        <w:t xml:space="preserve">Required answers (all on the controlled silver-stage evaluation, validation-pending).</w:t>
      </w:r>
    </w:p>
    <w:p>
      <w:pPr>
        <w:pStyle w:val="ListNumber"/>
      </w:pPr>
      <w:r>
        <w:rPr>
          <w:b/>
        </w:rPr>
        <w:t xml:space="preserve">Can the scalar score identify overclaim (supported vs. overclaim)?</w:t>
      </w:r>
      <w:r>
        <w:t xml:space="preserve"> — A cue-based scalar (`rule_scalar_score`) cannot (ROC-AUC = 0.5136, chance-level). An LLM-derived scalar (`llm_scalar_proxy`) can (ROC-AUC = 0.8533), but only because the LLM judge itself can identify supported claims well; this is a broad-severity capability, not a fine-grained relation-typing capability. </w:t>
      </w:r>
      <w:r>
        <w:rPr>
          <w:b/>
        </w:rPr>
        <w:t xml:space="preserve">Verdict: scalar can identify overclaim only when derived from a strong LLM; pure cue-based scalar cannot.</w:t>
      </w:r>
    </w:p>
    <w:p>
      <w:pPr>
        <w:pStyle w:val="ListNumber"/>
      </w:pPr>
      <w:r>
        <w:rPr>
          <w:b/>
        </w:rPr>
        <w:t xml:space="preserve">Can the scalar score reliably distinguish mild from strong_action?</w:t>
      </w:r>
      <w:r>
        <w:t xml:space="preserve"> — Neither scalar variant can. `rule_scalar_score` ROC-AUC = 0.5062 (chance); `llm_scalar_proxy` ROC-AUC = 0.5874 (weak, below 0.70). The scalar compresses the action-vs-scope distinction, which is exactly the high-risk boundary the four-class taxonomy is designed to isolate. </w:t>
      </w:r>
      <w:r>
        <w:rPr>
          <w:b/>
        </w:rPr>
        <w:t xml:space="preserve">Verdict: NO. This is the critical failure mode that motivates fine-grained relation typing.</w:t>
      </w:r>
    </w:p>
    <w:p>
      <w:pPr>
        <w:pStyle w:val="ListNumber"/>
      </w:pPr>
      <w:r>
        <w:rPr>
          <w:b/>
        </w:rPr>
        <w:t xml:space="preserve">Can the scalar score replace the R4 strong_action route?</w:t>
      </w:r>
      <w:r>
        <w:t xml:space="preserve"> — On silver 444, R4 strong_F1 = 0.3967 vs. `rule_scalar` best-F1 = 0.3844 (R4 above by +0.0123). On matched 100, R4 strong_F1 = 0.3000 vs. `rule_scalar` = 0.1364 (R4 above by +0.1636). The `llm_scalar_proxy` appears to tie R4 on F1 (0.3974 vs. 0.3967), but its ROC-AUC on strong_vs_nonstrong is at chance (0.5154), meaning the apparent F1 is a threshold artefact, not genuine strong_action discrimination. </w:t>
      </w:r>
      <w:r>
        <w:rPr>
          <w:b/>
        </w:rPr>
        <w:t xml:space="preserve">Verdict: NO. A scalar score cannot replace the R4 strong_action route.</w:t>
      </w:r>
    </w:p>
    <w:p>
      <w:pPr>
        <w:pStyle w:val="ListNumber"/>
      </w:pPr>
      <w:r>
        <w:rPr>
          <w:b/>
        </w:rPr>
        <w:t xml:space="preserve">Does R4 retain independent screening value on strong_action?</w:t>
      </w:r>
      <w:r>
        <w:t xml:space="preserve"> — Yes. R4 captures 8/24 strong_action cases that all three LLM judges (GPT standard, GPT structured, DeepSeek) miss on the matched 100. R4's strong_action F1 is 3–5× higher than any LLM judge under the tested prompts. The cost is lower overall macro-F1 (0.3280 vs. 0.5523) and higher review burden (35% vs. 1%), but this trade-off is intentional: R4 is a screening-oriented complement, not a replacement. </w:t>
      </w:r>
      <w:r>
        <w:rPr>
          <w:b/>
        </w:rPr>
        <w:t xml:space="preserve">Verdict: YES. R4 retains clear screening value on the high-risk boundary class.</w:t>
      </w:r>
    </w:p>
    <w:p>
      <w:pPr>
        <w:pStyle w:val="ListNumber"/>
      </w:pPr>
      <w:r>
        <w:rPr>
          <w:b/>
        </w:rPr>
        <w:t xml:space="preserve">Are scalar overstatement scoring and relation-specific screening complementary?</w:t>
      </w:r>
      <w:r>
        <w:t xml:space="preserve"> — Yes. Scalar scores (especially LLM-derived) are good at the broad supported-vs-overclaim distinction (ROC-AUC = 0.85) and at strong-vs-contradiction (ROC-AUC = 0.85). Scalar scores CANNOT distinguish mild from strong (ROC-AUC ≤ 0.59) and cannot reliably identify strong_action (ROC-AUC ≤ 0.52 on strong_vs_nonstrong). R4 provides the missing signal: strong_F1 = 0.3967 vs. scalar/LLM ≤ 0.10 on matched samples. The two approaches address different sub-problems: scalar for broad severity ranking, relation-specific for high-risk action-overclaim screening. </w:t>
      </w:r>
      <w:r>
        <w:rPr>
          <w:b/>
        </w:rPr>
        <w:t xml:space="preserve">This complementarity is the empirical justification for CESE-OCN's positioning as a fine-grained complement to (not replacement of) scalar overstatement scoring work like RIGOURATE.</w:t>
      </w:r>
    </w:p>
    <w:p>
      <w:r>
        <w:rPr>
          <w:b/>
        </w:rPr>
        <w:t xml:space="preserve">Caveats (see also §IX).</w:t>
      </w:r>
      <w:r>
        <w:t xml:space="preserve"> (i) The RIGOURATE-style baselines are proxies, NOT the official RIGOURATE system; conclusions may shift when official RIGOURATE artifacts become available. (ii) The `nli_scalar_score` baseline is BLOCKED with `blocked_reason` recorded; no result is fabricated for it. (iii) `llm_scalar_proxy` is LLM-label-derived (mapped from predicted 4-class label), not a true continuous overstatement score; it inherits the LLM's under-detection pattern on strong_action. (iv) All evaluation is on silver labels (pre-gold); gold adjudication may shift conclusions. (v) SimClaim is a controlled counterfactual diagnostic set, not a natural-prevalence corpus; the §VII.J realism audit addresses claim naturalness separately. (vi) The case-level analysis (`case_level_comparison.csv`, 100 matched cases) shows: both-wrong = 49/100 (dominant — both methods struggle), R4-right-scalar-wrong = 24/100, scalar-right-R4-wrong = 17/100, both-right = 10/100, mild/strong confusion = 35/100 — confirming that the mild-vs-strong boundary is the hardest distinction and that R4 and the scalar make partially non-overlapping errors.</w:t>
      </w:r>
    </w:p>
    <w:p>
      <w:r>
        <w:rPr>
          <w:b/>
        </w:rPr>
        <w:t xml:space="preserve">This subsection does not claim that R4 outperforms the official RIGOURATE system</w:t>
      </w:r>
      <w:r>
        <w:t xml:space="preserve"> (official RIGOURATE is not available for head-to-head comparison). It does not claim that scalar scoring is unnecessary (the LLM-derived scalar achieves ROC-AUC = 0.85 on the broad supported-vs-overclaim task). It claims only that, on the controlled silver-stage evaluation of the SimClaim diagnostic set, a scalar score — whether cue-based or LLM-derived — cannot reliably distinguish mild from strong_action, and R4 retains targeted screening value on the high-risk boundary class. This is a controlled silver-stage finding; the pre-registered gold adjudication (§VII) is the protocol-locked mechanism that determines whether this pattern is treated as validated.</w:t>
      </w:r>
    </w:p>
    <w:p>
      <w:pPr>
        <w:pStyle w:val="Heading2"/>
      </w:pPr>
      <w:r>
        <w:t xml:space="preserve">VII. Pre-Registered Gold Validation Protocol</w:t>
      </w:r>
    </w:p>
    <w:p>
      <w:pPr>
        <w:pStyle w:val="TableCell"/>
      </w:pPr>
      <w:r>
        <w:t xml:space="preserve">This section specifies the protocol-locked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 This section is the validation-pending protocol; the results will be filled in after the 50-sample gold pilot is completed. This is a protocol-locked validation mechanism, not a post-hoc tuning loop.</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on the controlled silver-stage evaluation,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 — and it is pre-registered to ensure it is a validation mechanism, not a tuning opportunity.</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Pr>
        <w:pStyle w:val="Heading3"/>
      </w:pPr>
      <w:r>
        <w:t xml:space="preserve">C. Silver-Stage Evidence Is Frozen</w:t>
      </w:r>
    </w:p>
    <w:p>
      <w:r>
        <w:t xml:space="preserve">The following silver-stage artifacts are frozen as of V3.10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 This is the protocol-locked safety mechanism.</w:t>
      </w:r>
    </w:p>
    <w:p>
      <w:pPr>
        <w:pStyle w:val="Heading3"/>
      </w:pPr>
      <w:r>
        <w:t xml:space="preserve">D. What Gold Will Test</w:t>
      </w:r>
    </w:p>
    <w:p>
      <w:r>
        <w:t xml:space="preserve">The planned gold validation tests six pre-registered hypotheses, each tied to a specific silver-stage claim in this manuscript:</w:t>
      </w:r>
    </w:p>
    <w:p>
      <w:pPr>
        <w:pStyle w:val="ListNumber"/>
      </w:pPr>
      <w:r>
        <w:rPr>
          <w:b/>
        </w:rPr>
        <w:t xml:space="preserve">H1 — Annotator agreement is sufficient to support the four-class taxonomy.</w:t>
      </w:r>
      <w:r>
        <w:t xml:space="preserve">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pPr>
        <w:pStyle w:val="ListNumber"/>
      </w:pPr>
      <w:r>
        <w:rPr>
          <w:b/>
        </w:rPr>
        <w:t xml:space="preserve">H5 — R4 provides targeted complementary value on strong_action under gold.</w:t>
      </w:r>
      <w:r>
        <w:t xml:space="preserve"> The silver-stage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and to detect fatal taxonomy problems; a confirmatory study (300–500 pairs) is a separate follow-up effort. If the 50-sample pilot passes, the paper proceeds to the confirmatory study; if it fails, the taxonomy is revised first.</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silver-stage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silver-stage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silver-stage findings supported.</w:t>
      </w:r>
      <w:r>
        <w:t xml:space="preserve"> This is the success path: the paper proceeds to a confirmatory submission with gold-validated numbers.</w:t>
      </w:r>
    </w:p>
    <w:p>
      <w:pPr>
        <w:pStyle w:val="Heading3"/>
      </w:pPr>
      <w:r>
        <w:t xml:space="preserve">H. Closing Position</w:t>
      </w:r>
    </w:p>
    <w:p>
      <w:r>
        <w:rPr>
          <w:b/>
        </w:rPr>
        <w:t xml:space="preserve">The downgrade criteria in §VII.G specify what happens if gold does not support the silver-stage findings.</w:t>
      </w:r>
      <w:r>
        <w:t xml:space="preserve"> Until gold results are available, all claims in this manuscript should be read as controlled silver-stage evidence,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 This is what "protocol-locked validation" means: the validation mechanism is fixed before the result is known.</w:t>
      </w:r>
    </w:p>
    <w:p>
      <w:pPr>
        <w:pStyle w:val="Heading3"/>
      </w:pPr>
      <w:r>
        <w:t xml:space="preserve">I. Proposed Gold-Realism Audit Extension</w:t>
      </w:r>
    </w:p>
    <w:p>
      <w:r>
        <w:t xml:space="preserve">Because SimClaim uses generated counterfactual claim variants (§V.A), gold validation should assess both </w:t>
      </w:r>
      <w:r>
        <w:rPr>
          <w:b/>
        </w:rPr>
        <w:t xml:space="preserve">relation-label agreement</w:t>
      </w:r>
      <w:r>
        <w:t xml:space="preserve"> and </w:t>
      </w:r>
      <w:r>
        <w:rPr>
          <w:b/>
        </w:rPr>
        <w:t xml:space="preserve">claim realism / plausibility</w:t>
      </w:r>
      <w:r>
        <w:t xml:space="preserve">. A claim variant may receive a unanimous relation label from two annotators yet still be too template-like, too extreme, or unnaturally worded to stand as a plausible scientific claim. If a substantial fraction of strong_action_overclaim cases are flagged as unrealistic, the silver-stage screening finding (R4 &gt; LLM on strong_action) may hold on the diagnostic set but fail to transfer to natural scientific writing — a scope-limiting risk that the §VII.G downgrade criteria alone do not cover.</w:t>
      </w:r>
    </w:p>
    <w:p>
      <w:r>
        <w:t xml:space="preserve">We therefore propose a </w:t>
      </w:r>
      <w:r>
        <w:rPr>
          <w:b/>
        </w:rPr>
        <w:t xml:space="preserve">parallel gold-realism audit</w:t>
      </w:r>
      <w:r>
        <w:t xml:space="preserve"> with two fields per claim, collected alongside (not replacing) the relation label:</w:t>
      </w:r>
    </w:p>
    <w:p>
      <w:pPr>
        <w:pStyle w:val="ListBullet"/>
      </w:pPr>
      <w:r>
        <w:rPr>
          <w:b/>
        </w:rPr>
        <w:t xml:space="preserve">`claim_realism_score_1_to_5`</w:t>
      </w:r>
      <w:r>
        <w:t xml:space="preserve"> (integer 1–5): 1 = clearly unrealistic / not a scientific claim, 5 = clearly a plausible scientific claim a researcher might write.</w:t>
      </w:r>
    </w:p>
    <w:p>
      <w:pPr>
        <w:pStyle w:val="ListBullet"/>
      </w:pPr>
      <w:r>
        <w:rPr>
          <w:b/>
        </w:rPr>
        <w:t xml:space="preserve">`claim_realism_issue`</w:t>
      </w:r>
      <w:r>
        <w:t xml:space="preserve"> (single categorical tag): `none` | `too_template_like` | `too_extreme` | `unnatural_wording` | `not_scientific_claim` | `ambiguous_or_vague`.</w:t>
      </w:r>
    </w:p>
    <w:p>
      <w:r>
        <w:t xml:space="preserve">The proposed audit protocol is:</w:t>
      </w:r>
    </w:p>
    <w:p>
      <w:pPr>
        <w:pStyle w:val="ListNumber"/>
      </w:pPr>
      <w:r>
        <w:t xml:space="preserve">Each annotator independently assigns `claim_realism_score_1_to_5` and `claim_realism_issue` for every claim in the gold pilot (not just disputed cases).</w:t>
      </w:r>
    </w:p>
    <w:p>
      <w:pPr>
        <w:pStyle w:val="ListNumber"/>
      </w:pPr>
      <w:r>
        <w:t xml:space="preserve">After adjudication, the gold set carries a final `claim_realism_score_1_to_5` (mean of the two annotators' scores, or adjudicated value if they disagree by ≥ 2 points) and a final `claim_realism_issue` (adjudicated).</w:t>
      </w:r>
    </w:p>
    <w:p>
      <w:pPr>
        <w:pStyle w:val="ListNumber"/>
      </w:pPr>
      <w:r>
        <w:t xml:space="preserve">Pre-registered realism reporting thresholds:</w:t>
      </w:r>
    </w:p>
    <w:p>
      <w:r>
        <w:t xml:space="preserve">   - </w:t>
      </w:r>
      <w:r>
        <w:rPr>
          <w:b/>
        </w:rPr>
        <w:t xml:space="preserve">Low-realism flag</w:t>
      </w:r>
      <w:r>
        <w:t xml:space="preserve">: `claim_realism_score_1_to_5 ≤ 2` OR `claim_realism_issue ≠ none`.</w:t>
      </w:r>
    </w:p>
    <w:p>
      <w:r>
        <w:t xml:space="preserve">   - </w:t>
      </w:r>
      <w:r>
        <w:rPr>
          <w:b/>
        </w:rPr>
        <w:t xml:space="preserve">Class-level realism check</w:t>
      </w:r>
      <w:r>
        <w:t xml:space="preserve">: if &gt; 25% of claims in any class (especially strong_action_overclaim) receive a low-realism flag, the paper adds an explicit "realism caveat" to the corresponding §VI result and the §VIII screening-utility claim.</w:t>
      </w:r>
    </w:p>
    <w:p>
      <w:r>
        <w:t xml:space="preserve">   - </w:t>
      </w:r>
      <w:r>
        <w:rPr>
          <w:b/>
        </w:rPr>
        <w:t xml:space="preserve">Paper-level realism check</w:t>
      </w:r>
      <w:r>
        <w:t xml:space="preserve">: if &gt; 25% of all claims receive a low-realism flag, the paper's main claims are downgraded from "controlled silver-stage evidence on a diagnostic set" to "controlled silver-stage evidence on a synthetic diagnostic set with limited natural-claim transferability," and an additional §IX limitation item is added.</w:t>
      </w:r>
    </w:p>
    <w:p>
      <w:r>
        <w:t xml:space="preserve">The realism-audit fields are </w:t>
      </w:r>
      <w:r>
        <w:rPr>
          <w:b/>
        </w:rPr>
        <w:t xml:space="preserve">proposed</w:t>
      </w:r>
      <w:r>
        <w:t xml:space="preserve"> here, not yet collected. They are specified in the standalone file `proposed_gold_realism_extension.md` for annotator training and pilot protocol inclusion. The existing gold-pilot CSVs (`pilot_50_blind_annotation_A.csv`, `pilot_50_blind_annotation_B.csv`, `adjudication_template.csv`) are </w:t>
      </w:r>
      <w:r>
        <w:rPr>
          <w:b/>
        </w:rPr>
        <w:t xml:space="preserve">not</w:t>
      </w:r>
      <w:r>
        <w:t xml:space="preserve"> modified in V3.13; the realism fields will be added when the gold pilot is run.</w:t>
      </w:r>
    </w:p>
    <w:p>
      <w:r>
        <w:t xml:space="preserve">This proposal does not change any §VI number, does not change any §VIII.D result, does not replace the §VII.G downgrade criteria, and does not constitute gold annotation. It is a protocol-level extension specifying what the gold pilot will additionally measure.</w:t>
      </w:r>
    </w:p>
    <w:p>
      <w:pPr>
        <w:pStyle w:val="Heading3"/>
      </w:pPr>
      <w:r>
        <w:t xml:space="preserve">J. Two-Layer Gold Protocol (Relation + Realism) — Upgraded from §VII.I</w:t>
      </w:r>
    </w:p>
    <w:p>
      <w:r>
        <w:t xml:space="preserve">§VII.I proposed a parallel realism audit with two fields (`claim_realism_score_1_to_5`, `claim_realism_issue`). Building on that proposal and on the RIGOURATE-style baseline task's §9 gold-protocol extension (`D:\ocn\experiments\rigourate_reproduction_and_simclaim_baseline_v1\proposed_relation_realism_gold_protocol_v2.md`), we now specify a </w:t>
      </w:r>
      <w:r>
        <w:rPr>
          <w:b/>
        </w:rPr>
        <w:t xml:space="preserve">two-layer gold protocol</w:t>
      </w:r>
      <w:r>
        <w:t xml:space="preserve"> that makes the relation label and the realism audit first-class annotation layers. </w:t>
      </w:r>
      <w:r>
        <w:rPr>
          <w:b/>
        </w:rPr>
        <w:t xml:space="preserve">This is a protocol-level upgrade only — no gold annotation has been performed; no existing gold CSV is modified; no silver CSV is modified; the §VII.G downgrade criteria are not relaxed.</w:t>
      </w:r>
    </w:p>
    <w:p>
      <w:r>
        <w:rPr>
          <w:b/>
        </w:rPr>
        <w:t xml:space="preserve">Why two layers.</w:t>
      </w:r>
      <w:r>
        <w:t xml:space="preserve"> SimClaim is a controlled counterfactual diagnostic set (§V.A): evidence spans are real, but claim variants are generated to instantiate specific evidence-sufficiency relations. Gold validation therefore has two distinct jobs: (Layer 1) verify that the </w:t>
      </w:r>
      <w:r>
        <w:rPr>
          <w:i/>
        </w:rPr>
        <w:t xml:space="preserve">relation label</w:t>
      </w:r>
      <w:r>
        <w:t xml:space="preserve"> is reliably drawable by independent annotators using the frozen decision tree; (Layer 2) verify that the </w:t>
      </w:r>
      <w:r>
        <w:rPr>
          <w:i/>
        </w:rPr>
        <w:t xml:space="preserve">claim itself</w:t>
      </w:r>
      <w:r>
        <w:t xml:space="preserve"> is realistic enough that a finding which holds on the diagnostic set is not an artefact of unnatural claim wording. Layer 1 without Layer 2 would allow a unanimous-but-unnatural claim to count as validated; Layer 2 without Layer 1 would allow a natural-but-mislabelled claim to count as validated. The two layers are independent by design.</w:t>
      </w:r>
    </w:p>
    <w:p>
      <w:r>
        <w:rPr>
          <w:b/>
        </w:rPr>
        <w:t xml:space="preserve">Layer 1 — relation label (unchanged from §VII).</w:t>
      </w:r>
    </w:p>
    <w:p>
      <w:pPr>
        <w:pStyle w:val="ListBullet"/>
      </w:pPr>
      <w:r>
        <w:rPr>
          <w:b/>
        </w:rPr>
        <w:t xml:space="preserve">Field:</w:t>
      </w:r>
      <w:r>
        <w:t xml:space="preserve"> `gold_relation_label`</w:t>
      </w:r>
    </w:p>
    <w:p>
      <w:pPr>
        <w:pStyle w:val="ListBullet"/>
      </w:pPr>
      <w:r>
        <w:rPr>
          <w:b/>
        </w:rPr>
        <w:t xml:space="preserve">Values:</w:t>
      </w:r>
      <w:r>
        <w:t xml:space="preserve"> `supported` / `mild_scope_overclaim` / `strong_action_overclaim` / `contradiction_candidate`</w:t>
      </w:r>
    </w:p>
    <w:p>
      <w:pPr>
        <w:pStyle w:val="ListBullet"/>
      </w:pPr>
      <w:r>
        <w:rPr>
          <w:b/>
        </w:rPr>
        <w:t xml:space="preserve">Procedure:</w:t>
      </w:r>
      <w:r>
        <w:t xml:space="preserve"> Two-annotator independent review followed by adjudication for gold standard, per the existing §VII protocol. Boundary rules from the V3.12 taxonomy apply. Annotators see (claim_text, evidence_text, domain) only; silver labels, R4 predictions, LLM predictions, and group structure are hidden.</w:t>
      </w:r>
    </w:p>
    <w:p>
      <w:pPr>
        <w:pStyle w:val="ListBullet"/>
      </w:pPr>
      <w:r>
        <w:rPr>
          <w:b/>
        </w:rPr>
        <w:t xml:space="preserve">Quality control:</w:t>
      </w:r>
      <w:r>
        <w:t xml:space="preserve"> Cohen's κ (per class, per boundary) and Krippendorff's α reported. Adjudication disagreements recorded with reasons. The §VII.G downgrade criteria (mild_vs_strong κ &lt; 0.40 → taxonomy revised; strong_action retention &lt; 0.50 → claim downgraded) apply to Layer 1.</w:t>
      </w:r>
    </w:p>
    <w:p>
      <w:r>
        <w:rPr>
          <w:b/>
        </w:rPr>
        <w:t xml:space="preserve">Layer 2 — claim realism (NEW, operationalised from §VII.I).</w:t>
      </w:r>
    </w:p>
    <w:p>
      <w:pPr>
        <w:pStyle w:val="ListBullet"/>
      </w:pPr>
      <w:r>
        <w:rPr>
          <w:b/>
        </w:rPr>
        <w:t xml:space="preserve">Field 2a:</w:t>
      </w:r>
      <w:r>
        <w:t xml:space="preserve"> `claim_realism_score_1_to_5` (integer 1–5).</w:t>
      </w:r>
    </w:p>
    <w:p>
      <w:r>
        <w:t xml:space="preserve">  - 1 = clearly unrealistic (would never appear in a real scientific paper; extreme superlatives, mechanical negation insertions, placeholder phrasing).</w:t>
      </w:r>
    </w:p>
    <w:p>
      <w:r>
        <w:t xml:space="preserve">  - 2 = mostly unrealistic (noticeable unnatural wording but recognisable as a scientific claim).</w:t>
      </w:r>
    </w:p>
    <w:p>
      <w:r>
        <w:t xml:space="preserve">  - 3 = borderline (plausible with subtle unnatural cues — overly template-like opening, slightly forced action cues).</w:t>
      </w:r>
    </w:p>
    <w:p>
      <w:r>
        <w:t xml:space="preserve">  - 4 = mostly natural (reads naturally with minor quirks).</w:t>
      </w:r>
    </w:p>
    <w:p>
      <w:r>
        <w:t xml:space="preserve">  - 5 = clearly plausible (indistinguishable from a real author-written scientific claim).</w:t>
      </w:r>
    </w:p>
    <w:p>
      <w:r>
        <w:t xml:space="preserve">  - Annotators rate realism INDEPENDENTLY of the relation label. A claim can be `supported` and `realism_score=1` (unnatural but accurate) or `strong_action_overclaim` and `realism_score=5` (natural but overstated). Realism is about </w:t>
      </w:r>
      <w:r>
        <w:rPr>
          <w:i/>
        </w:rPr>
        <w:t xml:space="preserve">whether a real author could write this claim</w:t>
      </w:r>
      <w:r>
        <w:t xml:space="preserve">, not about </w:t>
      </w:r>
      <w:r>
        <w:rPr>
          <w:i/>
        </w:rPr>
        <w:t xml:space="preserve">whether the claim is correct</w:t>
      </w:r>
      <w:r>
        <w:t xml:space="preserve">.</w:t>
      </w:r>
    </w:p>
    <w:p>
      <w:pPr>
        <w:pStyle w:val="ListBullet"/>
      </w:pPr>
      <w:r>
        <w:rPr>
          <w:b/>
        </w:rPr>
        <w:t xml:space="preserve">Field 2b:</w:t>
      </w:r>
      <w:r>
        <w:t xml:space="preserve"> `claim_realism_issue` (single-select categorical).</w:t>
      </w:r>
    </w:p>
    <w:p>
      <w:r>
        <w:t xml:space="preserve">  - `none` / `too_template_like` / `too_extreme` / `unnatural_wording` / `not_scientific_claim` / `contradiction_too_mechanical` / `strong_action_too_forced` / `mild_strong_boundary_unclear` / `ambiguous_or_vague`.</w:t>
      </w:r>
    </w:p>
    <w:p>
      <w:r>
        <w:t xml:space="preserve">  - Select the </w:t>
      </w:r>
      <w:r>
        <w:rPr>
          <w:i/>
        </w:rPr>
        <w:t xml:space="preserve">primary</w:t>
      </w:r>
      <w:r>
        <w:t xml:space="preserve"> realism issue. If multiple issues are present, annotators record the most salient one in this field and describe others in a free-text notes field.</w:t>
      </w:r>
    </w:p>
    <w:p>
      <w:pPr>
        <w:pStyle w:val="ListBullet"/>
      </w:pPr>
      <w:r>
        <w:rPr>
          <w:b/>
        </w:rPr>
        <w:t xml:space="preserve">Field 2c:</w:t>
      </w:r>
      <w:r>
        <w:t xml:space="preserve"> `claim_realism_usable_for_paper` (`yes` / `no`, derived not annotated).</w:t>
      </w:r>
    </w:p>
    <w:p>
      <w:r>
        <w:t xml:space="preserve">  - `yes` — claim can be used in paper-valid tables and analyses (realism_score ≥ 3 AND no critical realism issue).</w:t>
      </w:r>
    </w:p>
    <w:p>
      <w:r>
        <w:t xml:space="preserve">  - `no` — claim should be excluded from paper-valid tables and reported only in diagnostic/sensitivity analyses (realism_score &lt; 3 OR a critical realism issue such as `not_scientific_claim` or `contradiction_too_mechanical`).</w:t>
      </w:r>
    </w:p>
    <w:p>
      <w:r>
        <w:t xml:space="preserve">  - This is a derived field computed by the analysis pipeline after annotation; annotators do NOT set it directly.</w:t>
      </w:r>
    </w:p>
    <w:p>
      <w:r>
        <w:rPr>
          <w:b/>
        </w:rPr>
        <w:t xml:space="preserve">Annotation workflow.</w:t>
      </w:r>
    </w:p>
    <w:p>
      <w:pPr>
        <w:pStyle w:val="ListNumber"/>
      </w:pPr>
      <w:r>
        <w:rPr>
          <w:b/>
        </w:rPr>
        <w:t xml:space="preserve">Sampling:</w:t>
      </w:r>
      <w:r>
        <w:t xml:space="preserve"> All 444 silver pairs are candidates for gold annotation. Priority sampling: all 111 `strong_action_overclaim` cases first (highest realism risk per the §8 audit: 9.0% heuristic realism flag rate vs. 4.7% overall), then a stratified sample of the other three classes.</w:t>
      </w:r>
    </w:p>
    <w:p>
      <w:pPr>
        <w:pStyle w:val="ListNumber"/>
      </w:pPr>
      <w:r>
        <w:rPr>
          <w:b/>
        </w:rPr>
        <w:t xml:space="preserve">Annotators:</w:t>
      </w:r>
      <w:r>
        <w:t xml:space="preserve"> Two independent annotators per claim, both with domain expertise in ML/NLP. A third adjudicator resolves disagreements in either layer.</w:t>
      </w:r>
    </w:p>
    <w:p>
      <w:pPr>
        <w:pStyle w:val="ListNumber"/>
      </w:pPr>
      <w:r>
        <w:rPr>
          <w:b/>
        </w:rPr>
        <w:t xml:space="preserve">Blinding:</w:t>
      </w:r>
      <w:r>
        <w:t xml:space="preserve"> Annotators see (claim_text, evidence_text, domain) only. Silver labels, R4 predictions, LLM predictions, and group structure are hidden.</w:t>
      </w:r>
    </w:p>
    <w:p>
      <w:pPr>
        <w:pStyle w:val="ListNumber"/>
      </w:pPr>
      <w:r>
        <w:rPr>
          <w:b/>
        </w:rPr>
        <w:t xml:space="preserve">Order:</w:t>
      </w:r>
      <w:r>
        <w:t xml:space="preserve"> Layer 1 (relation label) and Layer 2 (realism) are annotated in </w:t>
      </w:r>
      <w:r>
        <w:rPr>
          <w:b/>
        </w:rPr>
        <w:t xml:space="preserve">separate passes</w:t>
      </w:r>
      <w:r>
        <w:t xml:space="preserve"> to avoid anchoring. Order is randomised per annotator.</w:t>
      </w:r>
    </w:p>
    <w:p>
      <w:pPr>
        <w:pStyle w:val="ListNumber"/>
      </w:pPr>
      <w:r>
        <w:rPr>
          <w:b/>
        </w:rPr>
        <w:t xml:space="preserve">Adjudication:</w:t>
      </w:r>
      <w:r>
        <w:t xml:space="preserve"> Disagreements in either layer are adjudicated by the third annotator. Adjudication reasons are recorded.</w:t>
      </w:r>
    </w:p>
    <w:p>
      <w:pPr>
        <w:pStyle w:val="ListNumber"/>
      </w:pPr>
      <w:r>
        <w:rPr>
          <w:b/>
        </w:rPr>
        <w:t xml:space="preserve">Storage:</w:t>
      </w:r>
      <w:r>
        <w:t xml:space="preserve"> Gold annotations are stored in a separate CSV from silver. The silver CSV is NOT modified.</w:t>
      </w:r>
    </w:p>
    <w:p>
      <w:r>
        <w:rPr>
          <w:b/>
        </w:rPr>
        <w:t xml:space="preserve">Pre-registered realism thresholds (frozen before gold collection).</w:t>
      </w:r>
    </w:p>
    <w:p>
      <w:pPr>
        <w:pStyle w:val="ListBullet"/>
      </w:pPr>
      <w:r>
        <w:rPr>
          <w:b/>
        </w:rPr>
        <w:t xml:space="preserve">Class-level threshold:</w:t>
      </w:r>
      <w:r>
        <w:t xml:space="preserve"> If more than 25% of claims in any silver-label class have `claim_realism_score_1_to_5 ≤ 2`, that class is flagged for paper-validity review. The paper adds an explicit "realism caveat" to the corresponding §VI result and the §VIII screening-utility claim.</w:t>
      </w:r>
    </w:p>
    <w:p>
      <w:pPr>
        <w:pStyle w:val="ListBullet"/>
      </w:pPr>
      <w:r>
        <w:rPr>
          <w:b/>
        </w:rPr>
        <w:t xml:space="preserve">Paper-level threshold:</w:t>
      </w:r>
      <w:r>
        <w:t xml:space="preserve"> If more than 25% of all gold-annotated claims have `claim_realism_score_1_to_5 ≤ 2`, the paper's main claims are downgraded from "controlled silver-stage evidence on a diagnostic set" to "controlled silver-stage evidence on a synthetic diagnostic set with limited natural-claim transferability," and an additional §IX limitation item is added.</w:t>
      </w:r>
    </w:p>
    <w:p>
      <w:r>
        <w:t xml:space="preserve">These thresholds are pre-registered before gold collection and cannot be relaxed after results are known.</w:t>
      </w:r>
    </w:p>
    <w:p>
      <w:r>
        <w:rPr>
          <w:b/>
        </w:rPr>
        <w:t xml:space="preserve">Heuristic realism pre-screen (already conducted, NOT gold).</w:t>
      </w:r>
      <w:r>
        <w:t xml:space="preserve"> A heuristic pattern-based realism audit on all 444 SimClaim silver claims (`claim_realism_audit_queue.csv`, `claim_realism_audit_summary.md`) flagged 21/444 (4.7%) at the paper level and 10/111 (9.0%) for the `strong_action_overclaim` class. Both are below the 25% pre-registered threshold, but the `strong_action_overclaim` rate is non-trivial and motivates prioritising that class in gold sampling. </w:t>
      </w:r>
      <w:r>
        <w:rPr>
          <w:b/>
        </w:rPr>
        <w:t xml:space="preserve">This heuristic pre-screen is NOT gold and does NOT pre-judge the gold result; it only informs the sampling order.</w:t>
      </w:r>
    </w:p>
    <w:p>
      <w:r>
        <w:rPr>
          <w:b/>
        </w:rPr>
        <w:t xml:space="preserve">Implications for paper.</w:t>
      </w:r>
    </w:p>
    <w:p>
      <w:pPr>
        <w:pStyle w:val="ListBullet"/>
      </w:pPr>
      <w:r>
        <w:t xml:space="preserve">This proposal does NOT create gold.</w:t>
      </w:r>
    </w:p>
    <w:p>
      <w:pPr>
        <w:pStyle w:val="ListBullet"/>
      </w:pPr>
      <w:r>
        <w:t xml:space="preserve">This proposal does NOT modify existing silver CSVs.</w:t>
      </w:r>
    </w:p>
    <w:p>
      <w:pPr>
        <w:pStyle w:val="ListBullet"/>
      </w:pPr>
      <w:r>
        <w:t xml:space="preserve">This proposal does NOT modify V3.12 paper text.</w:t>
      </w:r>
    </w:p>
    <w:p>
      <w:pPr>
        <w:pStyle w:val="ListBullet"/>
      </w:pPr>
      <w:r>
        <w:t xml:space="preserve">This proposal does NOT change the frozen R4 method or thresholds.</w:t>
      </w:r>
    </w:p>
    <w:p>
      <w:pPr>
        <w:pStyle w:val="ListBullet"/>
      </w:pPr>
      <w:r>
        <w:t xml:space="preserve">This proposal does NOT call any API.</w:t>
      </w:r>
    </w:p>
    <w:p>
      <w:pPr>
        <w:pStyle w:val="ListBullet"/>
      </w:pPr>
      <w:r>
        <w:t xml:space="preserve">This proposal does NOT claim SimClaim claims as natural claims.</w:t>
      </w:r>
    </w:p>
    <w:p>
      <w:pPr>
        <w:pStyle w:val="ListBullet"/>
      </w:pPr>
      <w:r>
        <w:t xml:space="preserve">This proposal does NOT claim silver labels as gold.</w:t>
      </w:r>
    </w:p>
    <w:p>
      <w:pPr>
        <w:pStyle w:val="ListBullet"/>
      </w:pPr>
      <w:r>
        <w:t xml:space="preserve">When gold is collected under this two-layer protocol, the paper will report: (a) gold relation-label results in Tables G1–G3 (already pre-registered in §VII); (b) gold realism distribution in a new appendix table; (c) sensitivity analysis excluding low-realism claims.</w:t>
      </w:r>
    </w:p>
    <w:p>
      <w:pPr>
        <w:pStyle w:val="ListBullet"/>
      </w:pPr>
      <w:r>
        <w:t xml:space="preserve">If realism thresholds are breached, the paper adds a realism caveat and reports sensitivity results.</w:t>
      </w:r>
    </w:p>
    <w:p>
      <w:pPr>
        <w:pStyle w:val="ListBullet"/>
      </w:pPr>
      <w:r>
        <w:t xml:space="preserve">If realism thresholds are NOT breached, the paper states that SimClaim claims pass the pre-registered realism check and proceeds with the main tables as-is.</w:t>
      </w:r>
    </w:p>
    <w:p>
      <w:r>
        <w:rPr>
          <w:b/>
        </w:rPr>
        <w:t xml:space="preserve">Relationship to RIGOURATE realism considerations.</w:t>
      </w:r>
      <w:r>
        <w:t xml:space="preserve"> RIGOURATE uses natural author-written claims from ICLR/NeurIPS abstracts and introductions, so realism is not a concern for RIGOURATE. SimClaim uses generated counterfactual claim variants, so realism IS a concern. This two-layer protocol is the falsifiable mechanism that addresses the realism risk: if SimClaim claims are systematically unnatural, the protocol will detect it and trigger a sensitivity analysis or a paper-level caveat.</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on the controlled silver-stage evaluation,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high-risk boundary class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may fail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screening-oriented complement, not a competitive one. A combined system — LLM judge for supported/mild/contradiction, R4 for strong_action — could potentially exploit this complementarity, though we leave that to future work.</w:t>
      </w:r>
    </w:p>
    <w:p>
      <w:r>
        <w:rPr>
          <w:b/>
        </w:rPr>
        <w:t xml:space="preserve">R4 is not intended to maximize overall macro-F1. Its role is to screen for strong_action_overclaim candidates missed by LLM judges.</w:t>
      </w:r>
      <w:r>
        <w:t xml:space="preserve"> On the controlled silver-stage evaluation, R4 produces approximately 122 false positives (98 supported → strong + 24 mild → strong) against about 25 true strong_action cases in the silver-stage matched analysis, yielding an estimated FP/TP ratio around 4.9. </w:t>
      </w:r>
      <w:r>
        <w:rPr>
          <w:b/>
        </w:rPr>
        <w:t xml:space="preserve">This is not acceptable as a final automatic labeler, but is acceptable as a high-recall screening layer for human or LLM-assisted review.</w:t>
      </w:r>
      <w:r>
        <w:t xml:space="preserve"> Whether the macro-F1 gap is an acceptable trade-off depends on the downstream use case — for action-overclaim monitoring where missing a strong_action case is costly, the trade-off is favorable; for generic claim verification, an LLM judge alone is preferable. The screening viability will be re-evaluated under gold in Table G3 (FP/TP ratio against gold labels, pre-registered threshold ≤ 10 in §VII.G).</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observed across the two tested models. Both GPT-5.5 and DeepSeek-V3 converge on strong_F1 = 0.0769 (recall = 0.04 = 1/25) on the controlled silver-stage evaluation,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The pre-registered gold adjudication (§VII) is the protocol-locked mechanism that determines whether this silver-stage pattern is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gold adjudication priority.</w:t>
      </w:r>
    </w:p>
    <w:p>
      <w:pPr>
        <w:pStyle w:val="Heading3"/>
      </w:pPr>
      <w:r>
        <w:t xml:space="preserve">D. Robustness and Credibility Checks Before Gold Adjudication</w:t>
      </w:r>
    </w:p>
    <w:p>
      <w:r>
        <w:rPr>
          <w:b/>
        </w:rPr>
        <w:t xml:space="preserve">These checks are non-gold robustness analyses. They do not replace gold adjudication (§VII).</w:t>
      </w:r>
      <w:r>
        <w:t xml:space="preserve"> All numeric results in this subsection are computed on already-existing silver-stage data, predictions, and scores — no new experiments, no API calls, no new model training, no threshold retuning, and no gold annotation. The three checks below test whether V3.11's main claims are (i) evidence-dependent rather than claim-only shortcuts, (ii) screening-useful despite R4's lower macro-F1, and (iii) robust to simulated strong-label shift of the kind gold adjudication may induce. They strengthen the silver-stage </w:t>
      </w:r>
      <w:r>
        <w:rPr>
          <w:i/>
        </w:rPr>
        <w:t xml:space="preserve">relative</w:t>
      </w:r>
      <w:r>
        <w:t xml:space="preserve"> pattern (R4 &gt; LLM on strong_action); they do not validate absolute numbers, which remain silver-stage pending §VII.</w:t>
      </w:r>
    </w:p>
    <w:p>
      <w:pPr>
        <w:pStyle w:val="Heading4"/>
      </w:pPr>
      <w:r>
        <w:t xml:space="preserve">A. Evidence Necessity Check</w:t>
      </w:r>
    </w:p>
    <w:p>
      <w:r>
        <w:t xml:space="preserve">This check tests whether the task and method are evidence-dependent rather than claim-only shortcuts. We use a two-layer analysis on existing data: (Layer A) a pre-existing NLI audit on 444 SimClaim samples comparing model accuracy under correct vs. perturbed evidence, and (Layer B) a TF-IDF cosine similarity sanity check between claim and evidence under each condition.</w:t>
      </w:r>
    </w:p>
    <w:p>
      <w:r>
        <w:t xml:space="preserve">Under Layer A (NLI audit, 444 samples), correct-evidence accuracy is 0.4324, while perturbed conditions drop substantially: empty evidence = 0.2545, shuffled evidence = 0.3851, same-domain wrong evidence = 0.2568. The accuracy drops under perturbation (correct→empty: −0.1779, correct→same_domain_wrong: −0.1757, correct→shuffled: −0.0473) suggest the task is evidence-sensitive: perturbing the evidence changes the calibration outcome, which is inconsistent with a claim-only shortcut.</w:t>
      </w:r>
    </w:p>
    <w:p>
      <w:r>
        <w:t xml:space="preserve">Under Layer B (TF-IDF cosine similarity, same 444 samples), correct-evidence mean similarity is 0.4131, while empty evidence = 0.0000 and same-domain wrong evidence = 0.0124. The shuffled-evidence TF-IDF cosine is identical to correct-evidence by construction, because TF-IDF is a bag-of-words representation and shuffled evidence preserves the same token multiset; the shuffled condition is therefore discriminated by the Layer A NLI audit (which is order-sensitive), not by Layer B. The TF-IDF/NLI correlation across conditions is r = −0.2736, which is expected rather than contradictory: TF-IDF measures surface lexical overlap, while NLI s_correct measures semantic entailment (which can hold even with low lexical overlap, e.g., paraphrase or abstraction). The two signals probe different dimensions of the claim–evidence relation and are complementary, not redundant.</w:t>
      </w:r>
    </w:p>
    <w:p>
      <w:r>
        <w:rPr>
          <w:b/>
        </w:rPr>
        <w:t xml:space="preserve">Interpretation.</w:t>
      </w:r>
      <w:r>
        <w:t xml:space="preserve"> The evidence perturbation results </w:t>
      </w:r>
      <w:r>
        <w:rPr>
          <w:i/>
        </w:rPr>
        <w:t xml:space="preserve">suggest</w:t>
      </w:r>
      <w:r>
        <w:t xml:space="preserve"> the task is evidence-sensitive and that the method responds to evidence content. We do </w:t>
      </w:r>
      <w:r>
        <w:rPr>
          <w:i/>
        </w:rPr>
        <w:t xml:space="preserve">not</w:t>
      </w:r>
      <w:r>
        <w:t xml:space="preserve"> claim this proves R4 fully relies on evidence in all cases — Layer A uses a pre-existing audit on the same SimClaim backbone but an earlier dataset version, and Layer B is a surface-level sanity check. The combined pattern (audit accuracy drops + TF-IDF similarity drops under content-changing perturbation) is consistent with evidence dependence and rules out the strongest form of claim-only shortcut, but does not establish full evidence reliance.</w:t>
      </w:r>
    </w:p>
    <w:p>
      <w:pPr>
        <w:pStyle w:val="Heading4"/>
      </w:pPr>
      <w:r>
        <w:t xml:space="preserve">B. Screening Utility Test</w:t>
      </w:r>
    </w:p>
    <w:p>
      <w:r>
        <w:t xml:space="preserve">This check tests whether R4 is useful as a screening-oriented complement for strong_action_overclaim, despite its lower overall macro-F1. Using frozen R4 predictions on the matched-100 set (25 true strong_action samples):</w:t>
      </w:r>
    </w:p>
    <w:p>
      <w:pPr>
        <w:pStyle w:val="ListBullet"/>
      </w:pPr>
      <w:r>
        <w:t xml:space="preserve">R4 predicted strong = 35; TP = 9; FP = 26; FN = 16.</w:t>
      </w:r>
    </w:p>
    <w:p>
      <w:pPr>
        <w:pStyle w:val="ListBullet"/>
      </w:pPr>
      <w:r>
        <w:t xml:space="preserve">Precision = 0.257; recall = 0.360; positive-F1 = 0.300.</w:t>
      </w:r>
    </w:p>
    <w:p>
      <w:pPr>
        <w:pStyle w:val="ListBullet"/>
      </w:pPr>
      <w:r>
        <w:t xml:space="preserve">FP/TP ratio = 2.89, below the pre-registered threshold of 10 (§VII.G).</w:t>
      </w:r>
    </w:p>
    <w:p>
      <w:pPr>
        <w:pStyle w:val="ListBullet"/>
      </w:pPr>
      <w:r>
        <w:t xml:space="preserve">Review burden = 35.0% (a human reviewer would need to check 35 of 100 samples).</w:t>
      </w:r>
    </w:p>
    <w:p>
      <w:pPr>
        <w:pStyle w:val="ListBullet"/>
      </w:pPr>
      <w:r>
        <w:t xml:space="preserve">R4 captures 8 strong_action cases that both tested LLM judges missed on the same matched-100 set.</w:t>
      </w:r>
    </w:p>
    <w:p>
      <w:r>
        <w:t xml:space="preserve">The actual false-positive breakdown by original silver class is: supported → strong = 12, mild_scope_overclaim → strong = 13, contradiction_candidate → strong = 1 (total FP = 26). The remaining 9 R4-predicted-strong samples whose silver label is strong_action_overclaim are true positives, not false positives.</w:t>
      </w:r>
    </w:p>
    <w:p>
      <w:r>
        <w:rPr>
          <w:b/>
        </w:rPr>
        <w:t xml:space="preserve">Interpretation.</w:t>
      </w:r>
      <w:r>
        <w:t xml:space="preserve"> R4 provides targeted recall-improving screening signal for strong_action_overclaim: it captures 8 cases the tested LLM judges missed, at an FP/TP ratio of 2.89 (below the pre-registered screening threshold). R4 is </w:t>
      </w:r>
      <w:r>
        <w:rPr>
          <w:i/>
        </w:rPr>
        <w:t xml:space="preserve">not</w:t>
      </w:r>
      <w:r>
        <w:t xml:space="preserve"> a final automatic labeler — the 26 false positives require human or LLM-assisted adjudication, which is exactly the gold validation protocol in §VII. We do </w:t>
      </w:r>
      <w:r>
        <w:rPr>
          <w:i/>
        </w:rPr>
        <w:t xml:space="preserve">not</w:t>
      </w:r>
      <w:r>
        <w:t xml:space="preserve"> claim R4 is a high-recall detector without qualification: recall is 0.360 (9/25), which is a moderate, not high, recall rate. The screening value is operational (FP/TP below threshold, captures LLM-missed cases), not a claim that R4 is a standalone strong_action detector. All counts depend on silver labels and may shift under gold adjudication.</w:t>
      </w:r>
    </w:p>
    <w:p>
      <w:pPr>
        <w:pStyle w:val="Heading4"/>
      </w:pPr>
      <w:r>
        <w:t xml:space="preserve">C. Label-Shift Stress Test</w:t>
      </w:r>
    </w:p>
    <w:p>
      <w:r>
        <w:t xml:space="preserve">This check tests how much the silver-stage strong_action screening claim can withstand if gold adjudication relabels a fraction of silver strong_action as mild_scope_overclaim. For each retention rate r, we randomly relabel (1−r) of silver strong_action as mild_scope, recompute binary strong_action F1 for R4 and the LLM judge, and repeat for 1000 bootstrap resamples on the matched-100 set (n_strong = 25). R4 predictions and LLM predictions are not retrained or retuned.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tblGrid>
      <w:tr>
        <w:tc>
          <w:tcPr>
            <w:tcW w:w="2000" w:type="dxa"/>
          </w:tcPr>
          <w:p>
            <w:pPr>
              <w:pStyle w:val="TableCell"/>
            </w:pPr>
            <w:r>
              <w:rPr>
                <w:b/>
              </w:rPr>
              <w:t xml:space="preserve">Retention</w:t>
            </w:r>
          </w:p>
        </w:tc>
        <w:tc>
          <w:tcPr>
            <w:tcW w:w="2000" w:type="dxa"/>
          </w:tcPr>
          <w:p>
            <w:pPr>
              <w:pStyle w:val="TableCell"/>
            </w:pPr>
            <w:r>
              <w:rPr>
                <w:b/>
              </w:rPr>
              <w:t xml:space="preserve">R4 F1 (mean, 95% CI)</w:t>
            </w:r>
          </w:p>
        </w:tc>
        <w:tc>
          <w:tcPr>
            <w:tcW w:w="2000" w:type="dxa"/>
          </w:tcPr>
          <w:p>
            <w:pPr>
              <w:pStyle w:val="TableCell"/>
            </w:pPr>
            <w:r>
              <w:rPr>
                <w:b/>
              </w:rPr>
              <w:t xml:space="preserve">LLM F1 (mean)</w:t>
            </w:r>
          </w:p>
        </w:tc>
        <w:tc>
          <w:tcPr>
            <w:tcW w:w="2000" w:type="dxa"/>
          </w:tcPr>
          <w:p>
            <w:pPr>
              <w:pStyle w:val="TableCell"/>
            </w:pPr>
            <w:r>
              <w:rPr>
                <w:b/>
              </w:rPr>
              <w:t xml:space="preserve">Δ(R4−LLM)</w:t>
            </w:r>
          </w:p>
        </w:tc>
        <w:tc>
          <w:tcPr>
            <w:tcW w:w="2000" w:type="dxa"/>
          </w:tcPr>
          <w:p>
            <w:pPr>
              <w:pStyle w:val="TableCell"/>
            </w:pPr>
            <w:r>
              <w:rPr>
                <w:b/>
              </w:rPr>
              <w:t xml:space="preserve">Δ 95% CI</w:t>
            </w:r>
          </w:p>
        </w:tc>
        <w:tc>
          <w:tcPr>
            <w:tcW w:w="2000" w:type="dxa"/>
          </w:tcPr>
          <w:p>
            <w:pPr>
              <w:pStyle w:val="TableCell"/>
            </w:pPr>
            <w:r>
              <w:rPr>
                <w:b/>
              </w:rPr>
              <w:t xml:space="preserve">R4 wins %</w:t>
            </w:r>
          </w:p>
        </w:tc>
        <w:tc>
          <w:tcPr>
            <w:tcW w:w="2000" w:type="dxa"/>
          </w:tcPr>
          <w:p>
            <w:pPr>
              <w:pStyle w:val="TableCell"/>
            </w:pPr>
            <w:r>
              <w:rPr>
                <w:b/>
              </w:rPr>
              <w:t xml:space="preserve">Statistical strength</w:t>
            </w:r>
          </w:p>
        </w:tc>
      </w:tr>
      <w:tr>
        <w:tc>
          <w:tcPr>
            <w:tcW w:w="2000" w:type="dxa"/>
          </w:tcPr>
          <w:p>
            <w:pPr>
              <w:pStyle w:val="TableCell"/>
            </w:pPr>
            <w:r>
              <w:t xml:space="preserve">70%</w:t>
            </w:r>
          </w:p>
        </w:tc>
        <w:tc>
          <w:tcPr>
            <w:tcW w:w="2000" w:type="dxa"/>
          </w:tcPr>
          <w:p>
            <w:pPr>
              <w:pStyle w:val="TableCell"/>
            </w:pPr>
            <w:r>
              <w:t xml:space="preserve">0.2451 [0.1509, 0.3028]</w:t>
            </w:r>
          </w:p>
        </w:tc>
        <w:tc>
          <w:tcPr>
            <w:tcW w:w="2000" w:type="dxa"/>
          </w:tcPr>
          <w:p>
            <w:pPr>
              <w:pStyle w:val="TableCell"/>
            </w:pPr>
            <w:r>
              <w:t xml:space="preserve">0.0759</w:t>
            </w:r>
          </w:p>
        </w:tc>
        <w:tc>
          <w:tcPr>
            <w:tcW w:w="2000" w:type="dxa"/>
          </w:tcPr>
          <w:p>
            <w:pPr>
              <w:pStyle w:val="TableCell"/>
            </w:pPr>
            <w:r>
              <w:t xml:space="preserve">+0.1692</w:t>
            </w:r>
          </w:p>
        </w:tc>
        <w:tc>
          <w:tcPr>
            <w:tcW w:w="2000" w:type="dxa"/>
          </w:tcPr>
          <w:p>
            <w:pPr>
              <w:pStyle w:val="TableCell"/>
            </w:pPr>
            <w:r>
              <w:t xml:space="preserve">[+0.083, +0.264]</w:t>
            </w:r>
          </w:p>
        </w:tc>
        <w:tc>
          <w:tcPr>
            <w:tcW w:w="2000" w:type="dxa"/>
          </w:tcPr>
          <w:p>
            <w:pPr>
              <w:pStyle w:val="TableCell"/>
            </w:pPr>
            <w:r>
              <w:t xml:space="preserve">100.0%</w:t>
            </w:r>
          </w:p>
        </w:tc>
        <w:tc>
          <w:tcPr>
            <w:tcW w:w="2000" w:type="dxa"/>
          </w:tcPr>
          <w:p>
            <w:pPr>
              <w:pStyle w:val="TableCell"/>
            </w:pPr>
            <w:r>
              <w:t xml:space="preserve">robust</w:t>
            </w:r>
          </w:p>
        </w:tc>
      </w:tr>
      <w:tr>
        <w:tc>
          <w:tcPr>
            <w:tcW w:w="2000" w:type="dxa"/>
          </w:tcPr>
          <w:p>
            <w:pPr>
              <w:pStyle w:val="TableCell"/>
            </w:pPr>
            <w:r>
              <w:t xml:space="preserve">60%</w:t>
            </w:r>
          </w:p>
        </w:tc>
        <w:tc>
          <w:tcPr>
            <w:tcW w:w="2000" w:type="dxa"/>
          </w:tcPr>
          <w:p>
            <w:pPr>
              <w:pStyle w:val="TableCell"/>
            </w:pPr>
            <w:r>
              <w:t xml:space="preserve">0.2184 [0.1200, 0.3200]</w:t>
            </w:r>
          </w:p>
        </w:tc>
        <w:tc>
          <w:tcPr>
            <w:tcW w:w="2000" w:type="dxa"/>
          </w:tcPr>
          <w:p>
            <w:pPr>
              <w:pStyle w:val="TableCell"/>
            </w:pPr>
            <w:r>
              <w:t xml:space="preserve">0.0776</w:t>
            </w:r>
          </w:p>
        </w:tc>
        <w:tc>
          <w:tcPr>
            <w:tcW w:w="2000" w:type="dxa"/>
          </w:tcPr>
          <w:p>
            <w:pPr>
              <w:pStyle w:val="TableCell"/>
            </w:pPr>
            <w:r>
              <w:t xml:space="preserve">+0.1408</w:t>
            </w:r>
          </w:p>
        </w:tc>
        <w:tc>
          <w:tcPr>
            <w:tcW w:w="2000" w:type="dxa"/>
          </w:tcPr>
          <w:p>
            <w:pPr>
              <w:pStyle w:val="TableCell"/>
            </w:pPr>
            <w:r>
              <w:t xml:space="preserve">[+0.035, +0.280]</w:t>
            </w:r>
          </w:p>
        </w:tc>
        <w:tc>
          <w:tcPr>
            <w:tcW w:w="2000" w:type="dxa"/>
          </w:tcPr>
          <w:p>
            <w:pPr>
              <w:pStyle w:val="TableCell"/>
            </w:pPr>
            <w:r>
              <w:t xml:space="preserve">98.6%</w:t>
            </w:r>
          </w:p>
        </w:tc>
        <w:tc>
          <w:tcPr>
            <w:tcW w:w="2000" w:type="dxa"/>
          </w:tcPr>
          <w:p>
            <w:pPr>
              <w:pStyle w:val="TableCell"/>
            </w:pPr>
            <w:r>
              <w:t xml:space="preserve">marginal-positive (CI lower bound just above 0)</w:t>
            </w:r>
          </w:p>
        </w:tc>
      </w:tr>
      <w:tr>
        <w:tc>
          <w:tcPr>
            <w:tcW w:w="2000" w:type="dxa"/>
          </w:tcPr>
          <w:p>
            <w:pPr>
              <w:pStyle w:val="TableCell"/>
            </w:pPr>
            <w:r>
              <w:t xml:space="preserve">50%</w:t>
            </w:r>
          </w:p>
        </w:tc>
        <w:tc>
          <w:tcPr>
            <w:tcW w:w="2000" w:type="dxa"/>
          </w:tcPr>
          <w:p>
            <w:pPr>
              <w:pStyle w:val="TableCell"/>
            </w:pPr>
            <w:r>
              <w:t xml:space="preserve">0.1843 [0.0851, 0.2979]</w:t>
            </w:r>
          </w:p>
        </w:tc>
        <w:tc>
          <w:tcPr>
            <w:tcW w:w="2000" w:type="dxa"/>
          </w:tcPr>
          <w:p>
            <w:pPr>
              <w:pStyle w:val="TableCell"/>
            </w:pPr>
            <w:r>
              <w:t xml:space="preserve">0.0706</w:t>
            </w:r>
          </w:p>
        </w:tc>
        <w:tc>
          <w:tcPr>
            <w:tcW w:w="2000" w:type="dxa"/>
          </w:tcPr>
          <w:p>
            <w:pPr>
              <w:pStyle w:val="TableCell"/>
            </w:pPr>
            <w:r>
              <w:t xml:space="preserve">+0.1137</w:t>
            </w:r>
          </w:p>
        </w:tc>
        <w:tc>
          <w:tcPr>
            <w:tcW w:w="2000" w:type="dxa"/>
          </w:tcPr>
          <w:p>
            <w:pPr>
              <w:pStyle w:val="TableCell"/>
            </w:pPr>
            <w:r>
              <w:t xml:space="preserve">[−0.026, +0.255]</w:t>
            </w:r>
          </w:p>
        </w:tc>
        <w:tc>
          <w:tcPr>
            <w:tcW w:w="2000" w:type="dxa"/>
          </w:tcPr>
          <w:p>
            <w:pPr>
              <w:pStyle w:val="TableCell"/>
            </w:pPr>
            <w:r>
              <w:t xml:space="preserve">94.2%</w:t>
            </w:r>
          </w:p>
        </w:tc>
        <w:tc>
          <w:tcPr>
            <w:tcW w:w="2000" w:type="dxa"/>
          </w:tcPr>
          <w:p>
            <w:pPr>
              <w:pStyle w:val="TableCell"/>
            </w:pPr>
            <w:r>
              <w:t xml:space="preserve">positive but statistically weaker / CI crosses zero</w:t>
            </w:r>
          </w:p>
        </w:tc>
      </w:tr>
      <w:tr>
        <w:tc>
          <w:tcPr>
            <w:tcW w:w="2000" w:type="dxa"/>
          </w:tcPr>
          <w:p>
            <w:pPr>
              <w:pStyle w:val="TableCell"/>
            </w:pPr>
            <w:r>
              <w:t xml:space="preserve">40%</w:t>
            </w:r>
          </w:p>
        </w:tc>
        <w:tc>
          <w:tcPr>
            <w:tcW w:w="2000" w:type="dxa"/>
          </w:tcPr>
          <w:p>
            <w:pPr>
              <w:pStyle w:val="TableCell"/>
            </w:pPr>
            <w:r>
              <w:t xml:space="preserve">0.1612 [0.0444, 0.2667]</w:t>
            </w:r>
          </w:p>
        </w:tc>
        <w:tc>
          <w:tcPr>
            <w:tcW w:w="2000" w:type="dxa"/>
          </w:tcPr>
          <w:p>
            <w:pPr>
              <w:pStyle w:val="TableCell"/>
            </w:pPr>
            <w:r>
              <w:t xml:space="preserve">0.0776</w:t>
            </w:r>
          </w:p>
        </w:tc>
        <w:tc>
          <w:tcPr>
            <w:tcW w:w="2000" w:type="dxa"/>
          </w:tcPr>
          <w:p>
            <w:pPr>
              <w:pStyle w:val="TableCell"/>
            </w:pPr>
            <w:r>
              <w:t xml:space="preserve">+0.0835</w:t>
            </w:r>
          </w:p>
        </w:tc>
        <w:tc>
          <w:tcPr>
            <w:tcW w:w="2000" w:type="dxa"/>
          </w:tcPr>
          <w:p>
            <w:pPr>
              <w:pStyle w:val="TableCell"/>
            </w:pPr>
            <w:r>
              <w:t xml:space="preserve">[−0.093, +0.222]</w:t>
            </w:r>
          </w:p>
        </w:tc>
        <w:tc>
          <w:tcPr>
            <w:tcW w:w="2000" w:type="dxa"/>
          </w:tcPr>
          <w:p>
            <w:pPr>
              <w:pStyle w:val="TableCell"/>
            </w:pPr>
            <w:r>
              <w:t xml:space="preserve">70.1%</w:t>
            </w:r>
          </w:p>
        </w:tc>
        <w:tc>
          <w:tcPr>
            <w:tcW w:w="2000" w:type="dxa"/>
          </w:tcPr>
          <w:p>
            <w:pPr>
              <w:pStyle w:val="TableCell"/>
            </w:pPr>
            <w:r>
              <w:t xml:space="preserve">not significant (CI crosses zero)</w:t>
            </w:r>
          </w:p>
        </w:tc>
      </w:tr>
    </w:tbl>
    <w:p>
      <w:r>
        <w:t xml:space="preserve">The break-even retention — where the Δ 95% CI first crosses zero — is approximately 0.5. At 70% retention, the R4 advantage is robust. At 60% retention, the R4 advantage is marginal-positive: the point estimate is +0.1408 and R4 wins 98.6% of bootstraps, but the CI lower bound (+0.035) is just above zero, so this should be read as a directional signal rather than a fully confirmed effect. At 50% retention, the point estimate remains positive (+0.1137) and R4 wins 94.2% of bootstraps, but the Δ 95% CI crosses zero ([−0.026, +0.255]); this is a positive-but-statistically-weaker result and must </w:t>
      </w:r>
      <w:r>
        <w:rPr>
          <w:i/>
        </w:rPr>
        <w:t xml:space="preserve">not</w:t>
      </w:r>
      <w:r>
        <w:t xml:space="preserve"> be reported as a robust pass. Below 50% retention, the CI clearly crosses zero and the advantage is not statistically distinguishable from zero.</w:t>
      </w:r>
    </w:p>
    <w:p>
      <w:r>
        <w:t xml:space="preserve">The point-estimate dominance persists down to low retention because the LLM judge's strong_action F1 is already near zero (~0.077) under the tested prompts: shrinking the positive set hurts R4's precision but cannot help the LLM, which rarely predicts strong_action at all. However, point-estimate dominance is not the same as statistical robustness — at 50% retention the CI crosses zero, so the advantage is directional, not confirmed.</w:t>
      </w:r>
    </w:p>
    <w:p>
      <w:r>
        <w:rPr>
          <w:b/>
        </w:rPr>
        <w:t xml:space="preserve">Interpretation.</w:t>
      </w:r>
      <w:r>
        <w:t xml:space="preserve"> If gold strong_action retention is around 60% or higher, the silver-stage screening claim has stronger support; at 50%, the point estimate remains positive but uncertainty crosses zero; below 50%, the paper should downgrade according to the pre-registered criteria in §VII.G. This sets a quantitative gold-pilot success bar: gold retention ≥ 70% → robust; 60% → marginal-positive; 50% → positive-but-weaker (CI crosses zero); &lt; 50% → downgrade per §VII.G. The simulated label shift is a sensitivity probe, not gold data; it does not replace gold adjudication.</w:t>
      </w:r>
    </w:p>
    <w:p>
      <w:pPr>
        <w:pStyle w:val="Heading4"/>
      </w:pPr>
      <w:r>
        <w:t xml:space="preserve">Summary of §VIII.D</w:t>
      </w:r>
    </w:p>
    <w:p>
      <w:r>
        <w:t xml:space="preserve">The three checks provide complementary non-gold support: (A) the task is evidence-sensitive, not a claim-only shortcut; (B) R4 provides targeted recall-improving screening signal for strong_action_overclaim at an operationally acceptable FP/TP ratio; (C) the silver-stage screening claim has quantified robustness to simulated strong-label shift, with a pre-registered break-even threshold (~50% retention) that ties directly to the §VII.G downgrade criteria. These strengthen the high-standard framework by (i) grounding the task in evidence dependence, (ii) giving R4's screening role operational meaning, and (iii) quantifying the gold risk via a retention threshold. They do not validate absolute numbers, do not replace gold adjudication, and do not change the fact that R4's overall macro-F1 remains lower than the LLM judges.</w:t>
      </w:r>
    </w:p>
    <w:p>
      <w:pPr>
        <w:pStyle w:val="Heading3"/>
      </w:pPr>
      <w:r>
        <w:t xml:space="preserve">E.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yet).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are reported as controlled silver-stage evidence, without claims of final benchmark readiness, and without claims that R4 outperforms LLM judges overall.</w:t>
      </w:r>
    </w:p>
    <w:p>
      <w:pPr>
        <w:pStyle w:val="Heading3"/>
      </w:pPr>
      <w:r>
        <w:t xml:space="preserve">F. Why Fine-Grained Relation Typing Is Valuable</w:t>
      </w:r>
    </w:p>
    <w:p>
      <w:r>
        <w:t xml:space="preserve">A natural question is: </w:t>
      </w:r>
      <w:r>
        <w:rPr>
          <w:i/>
        </w:rPr>
        <w:t xml:space="preserve">why decompose evidence-sufficiency mismatch into four relation types at all, rather than producing a single continuous overstatement score (as in RIGOURATE [30]) or a contrastive preference signal (as in ForceBench [35])?</w:t>
      </w:r>
      <w:r>
        <w:t xml:space="preserve"> The answer is that </w:t>
      </w:r>
      <w:r>
        <w:rPr>
          <w:b/>
        </w:rPr>
        <w:t xml:space="preserve">different overclaim relations have different risk semantics and different downstream screening needs</w:t>
      </w:r>
      <w:r>
        <w:t xml:space="preserve">, and a single score or paired-claim preference can collapse distinct failure modes.</w:t>
      </w:r>
    </w:p>
    <w:p>
      <w:r>
        <w:t xml:space="preserve">Unified overstatement scores are useful, but they may collapse different failure modes:</w:t>
      </w:r>
    </w:p>
    <w:p>
      <w:pPr>
        <w:pStyle w:val="ListBullet"/>
      </w:pPr>
      <w:r>
        <w:rPr>
          <w:b/>
        </w:rPr>
        <w:t xml:space="preserve">mild_scope_overclaim</w:t>
      </w:r>
      <w:r>
        <w:t xml:space="preserve">: the claim mildly over-extends the scope of the evidence — a writing-strength issue. The evidence supports a finding, but the claim generalizes slightly beyond it. The downstream intervention is editorial: tone down the claim, hedge the scope, or add a qualifier.</w:t>
      </w:r>
    </w:p>
    <w:p>
      <w:pPr>
        <w:pStyle w:val="ListBullet"/>
      </w:pPr>
      <w:r>
        <w:rPr>
          <w:b/>
        </w:rPr>
        <w:t xml:space="preserve">strong_action_overclaim</w:t>
      </w:r>
      <w:r>
        <w:t xml:space="preserve">: the claim asserts an action, deployment, safety, policy, or operational conclusion that the evidence does not justify — a </w:t>
      </w:r>
      <w:r>
        <w:rPr>
          <w:i/>
        </w:rPr>
        <w:t xml:space="preserve">risk-bearing</w:t>
      </w:r>
      <w:r>
        <w:t xml:space="preserve"> issue. The downstream intervention is not just editorial; the claim may mislead deployment decisions, safety assessments, or policy framing if left unchecked. The cost of a missed strong_action_overclaim is qualitatively different from the cost of a missed mild_scope_overclaim.</w:t>
      </w:r>
    </w:p>
    <w:p>
      <w:pPr>
        <w:pStyle w:val="ListBullet"/>
      </w:pPr>
      <w:r>
        <w:rPr>
          <w:b/>
        </w:rPr>
        <w:t xml:space="preserve">contradiction_candidate</w:t>
      </w:r>
      <w:r>
        <w:t xml:space="preserve">: the evidence conflicts with the claim on a factual or directional dimension — a </w:t>
      </w:r>
      <w:r>
        <w:rPr>
          <w:i/>
        </w:rPr>
        <w:t xml:space="preserve">correctness</w:t>
      </w:r>
      <w:r>
        <w:t xml:space="preserve"> issue. The downstream intervention is to fix the claim or fix the evidence; this is the relation most aligned with traditional NLI/claim-verification.</w:t>
      </w:r>
    </w:p>
    <w:p>
      <w:r>
        <w:t xml:space="preserve">Therefore, </w:t>
      </w:r>
      <w:r>
        <w:rPr>
          <w:b/>
        </w:rPr>
        <w:t xml:space="preserve">strong_action_overclaim is not just "a mild overclaim with a higher score"</w:t>
      </w:r>
      <w:r>
        <w:t xml:space="preserve"> — it is a relation with different risk semantics and different screening needs. A continuous score cannot distinguish "this claim is slightly too strong" from "this claim asserts deployment readiness the evidence does not support" without an additional relation-type layer. A contrastive paired-claim test can probe force-sensitivity but does not, by itself, output which type of mismatch a single claim has. This is why a relation-type decomposition — supported, mild_scope_overclaim, strong_action_overclaim, contradiction_candidate — is operationally valuable: it lets a screening system flag the high-risk action-overclaim sub-class for priority review, rather than mixing it with milder scope-expansion cases that need only editorial intervention.</w:t>
      </w:r>
    </w:p>
    <w:p>
      <w:r>
        <w:t xml:space="preserve">This argument is the </w:t>
      </w:r>
      <w:r>
        <w:rPr>
          <w:i/>
        </w:rPr>
        <w:t xml:space="preserve">taxonomy-level</w:t>
      </w:r>
      <w:r>
        <w:t xml:space="preserve"> reason for the four-class decomposition, independent of any particular model's performance on it. The §VI silver-stage results show that R4 exploits this decomposition to improve strong_action recall at the cost of macro-F1, but the taxonomy-level argument does not depend on R4 specifically — any downstream system that needs to flag high-risk action overclaims separately from mild scope expansion benefits from this decomposition. Whether the four-class decomposition is reliably drawable by human annotators is the subject of the §VII gold adjudication.</w:t>
      </w:r>
    </w:p>
    <w:p>
      <w:pPr>
        <w:pStyle w:val="Heading2"/>
      </w:pPr>
      <w:r>
        <w:t xml:space="preserve">IX. Limitations</w:t>
      </w:r>
    </w:p>
    <w:p>
      <w:r>
        <w:t xml:space="preserve">This work is a </w:t>
      </w:r>
      <w:r>
        <w:rPr>
          <w:b/>
        </w:rPr>
        <w:t xml:space="preserve">framework-level contribution with controlled silver-stage evidence</w:t>
      </w:r>
      <w:r>
        <w:t xml:space="preserve">, not a confirmatory benchmark. The limitations below define the boundary of what the current results do and do not support.</w:t>
      </w:r>
    </w:p>
    <w:p>
      <w:pPr>
        <w:pStyle w:val="ListNumber"/>
      </w:pPr>
      <w:r>
        <w:rPr>
          <w:b/>
        </w:rPr>
        <w:t xml:space="preserve">Silver labels are validation-pending, not gold.</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controlled silver-stage findings. We do not claim gold/human-audited performance, human kappa, or final benchmark status from silver data alone. The LLM under-detection finding (§VI.B) is computed against these silver labels and must be interpreted as controlled silver-stage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(controlled silver-stage evaluation), R4 macro-F1 = 0.3280 vs. GPT-5.5 = 0.5523 (gap 0.22). R4 is a relation-specific screening-oriented complement, not a general-purpose classifier. It sacrifices macro-F1 for strong_action recall. We do not claim R4 is better than LLM judges overall — we claim R4 provides targeted screening signal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the controlled silver-stage evaluation, R4 strong-F1 = 0.3967, LLM strong-F1 = 0.0769) should be read as controlled silver-stage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transferability probe does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a framework-level contribution with a protocol-locked validation mechanism.</w:t>
      </w:r>
      <w:r>
        <w:t xml:space="preserve"> The gold validation section (§VII) is specified but not yet populated; all gold-related entries are marked `TO_BE_FILLED_AFTER_GOLD`. Final submission claims will be revised after gold results are available. If gold does not support the current taxonomy, the paper will be downgraded per the pre-registered criteria in §VII.G rather than re-tuned against gold. This is the protocol-locked safety mechanism.</w:t>
      </w:r>
    </w:p>
    <w:p>
      <w:pPr>
        <w:pStyle w:val="ListNumber"/>
      </w:pPr>
      <w:r>
        <w:rPr>
          <w:b/>
        </w:rPr>
        <w:t xml:space="preserve">The three credibility checks in §VIII.D are non-gold robustness analyses and do not replace independent gold adjudication.</w:t>
      </w:r>
      <w:r>
        <w:t xml:space="preserve"> The Evidence Necessity Check (§VIII.D.A) uses a pre-existing NLI audit on the same SimClaim backbone but an earlier dataset version, and the TF-IDF sanity check is a surface-level probe; together they </w:t>
      </w:r>
      <w:r>
        <w:rPr>
          <w:i/>
        </w:rPr>
        <w:t xml:space="preserve">suggest</w:t>
      </w:r>
      <w:r>
        <w:t xml:space="preserve"> evidence sensitivity but do not prove full evidence reliance. The Screening Utility Test (§VIII.D.B) reports FP/TP and recall computed against silver labels, which may shift under gold. The Label-Shift Stress Test (§VIII.D.C) is a simulated sensitivity probe — the relabeled strong_action samples are </w:t>
      </w:r>
      <w:r>
        <w:rPr>
          <w:i/>
        </w:rPr>
        <w:t xml:space="preserve">not</w:t>
      </w:r>
      <w:r>
        <w:t xml:space="preserve"> gold data, and the 50% retention result has a Δ 95% CI that crosses zero and must not be reported as a robust pass. None of these checks validate absolute numbers or substitute for the §VII gold adjudication.</w:t>
      </w:r>
    </w:p>
    <w:p>
      <w:pPr>
        <w:pStyle w:val="ListNumber"/>
      </w:pPr>
      <w:r>
        <w:rPr>
          <w:b/>
        </w:rPr>
        <w:t xml:space="preserve">Differentiation from RIGOURATE / ForceBench / CLAIM-BENCH is positioning-level, not empirical-headto-head.</w:t>
      </w:r>
      <w:r>
        <w:t xml:space="preserve"> This work does not run a direct experimental comparison against RIGOURATE [30], ForceBench [35], or CLAIM-BENCH [28]. The positioning in §II.A and Table X is based on the published formulations of those systems and on the conceptual output-type / input-form differences. A direct head-to-head evaluation would require running RIGOURATE-style scoring, ForceBench-style contrastive preference, and CLAIM-BENCH-style extraction-validation on SimClaim, which is outside the scope of this paper. The "complementary" relation claimed in §II.A is therefore a </w:t>
      </w:r>
      <w:r>
        <w:rPr>
          <w:i/>
        </w:rPr>
        <w:t xml:space="preserve">conceptual</w:t>
      </w:r>
      <w:r>
        <w:t xml:space="preserve"> complementarity, not an empirically demonstrated one. Until a head-to-head evaluation is performed, the differentiation claim should be read as a positioning argument, not as a benchmarked advantage.</w:t>
      </w:r>
    </w:p>
    <w:p>
      <w:pPr>
        <w:pStyle w:val="ListNumber"/>
      </w:pPr>
      <w:r>
        <w:rPr>
          <w:b/>
        </w:rPr>
        <w:t xml:space="preserve">SimClaim is a controlled counterfactual diagnostic set, not a natural-prevalence corpus.</w:t>
      </w:r>
      <w:r>
        <w:t xml:space="preserve"> As stated in §V.A, SimClaim's four-way balanced design is a deliberate construction for pressure-testing boundary recognition under matched evidence; it does not estimate the natural prevalence of strong_action_overclaim or contradiction_candidate in real scientific writing. The proposed gold-realism audit (§VII.I, `proposed_gold_realism_extension.md`) is a protocol-level extension to assess claim realism alongside relation-label agreement, but it has not yet been run. Until the realism audit is completed, the silver-stage screening finding (R4 &gt; LLM on strong_action) should be read as holding on the </w:t>
      </w:r>
      <w:r>
        <w:rPr>
          <w:i/>
        </w:rPr>
        <w:t xml:space="preserve">diagnostic</w:t>
      </w:r>
      <w:r>
        <w:t xml:space="preserve"> set, with limited natural-claim transferability evidence. If the realism audit flags &gt; 25% of strong_action_overclaim cases as low-realism, the screening claim will be downgraded per §VII.I.</w:t>
      </w:r>
    </w:p>
    <w:p>
      <w:pPr>
        <w:pStyle w:val="ListNumber"/>
      </w:pPr>
      <w:r>
        <w:rPr>
          <w:b/>
        </w:rPr>
        <w:t xml:space="preserve">The RIGOURATE-style scalar baseline (§VI.E) is a proxy, not an official RIGOURATE reproduction.</w:t>
      </w:r>
      <w:r>
        <w:t xml:space="preserve"> As of 2026-07-05, the official RIGOURATE code, data, and fine-tuned model weights are not publicly available (arXiv v2 carries a placeholder `[Github/HF Link]` URL). The §VI.E scalar baselines (rule_scalar_score, llm_scalar_proxy) are explicitly labelled as proxy; the nli_scalar_score baseline is BLOCKED with `blocked_reason` recorded (HCM/NLI features not present in the active repository). Conclusions in §VI.E — that a scalar score cannot reliably distinguish mild from strong_action and that R4 retains targeted screening value — may shift when official RIGOURATE artifacts become available and a head-to-head comparison is possible. The §VI.E comparison against RIGOURATE, ForceBench, and CLAIM-Bench remains positioning-level for those three systems; only the proxy scalar baseline is empirically compared here, and it is NOT the official RIGOURATE system. We do not claim that R4 outperforms the official RIGOURATE system; we claim only that, on the controlled silver-stage evaluation of the SimClaim diagnostic set, a scalar score — whether cue-based or LLM-derived — cannot reliably distinguish mild from strong_action, and R4 retains targeted screening value on the high-risk boundary class.</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controlled evaluation, N ≤ 200" and are never merged with SimClaim main results or claimed as gold standard; (f) the comparison against RIGOURATE / ForceBench / CLAIM-BENCH is positioning-level, not a head-to-head empirical benchmark; (g) the RIGOURATE-style scalar baselines in §VI.E are proxies, not official RIGOURATE; (h) the nli_scalar_score baseline is BLOCKED with `blocked_reason` recorded; (i) the heuristic realism pre-screen (§VII.J) is pattern-based and NOT a substitute for human realism annotation.</w:t>
      </w:r>
    </w:p>
    <w:p>
      <w:r>
        <w:t xml:space="preserve">These limitations bound the strength of the claims — they do not invalidate the framework. The contribution is a falsifiable framework, a frozen main method whose numeric claims are constrained by the paper-ready result pack, and a protocol-locked validation mechanism — positioned as a screening-oriented complement to LLM judges rather than a competitive replacement.</w:t>
      </w:r>
    </w:p>
    <w:p>
      <w:pPr>
        <w:pStyle w:val="Heading2"/>
      </w:pPr>
      <w:r>
        <w:t xml:space="preserve">X. Conclusion</w:t>
      </w:r>
    </w:p>
    <w:p>
      <w:r>
        <w:t xml:space="preserve">This work frames CESE-OCN as a </w:t>
      </w:r>
      <w:r>
        <w:rPr>
          <w:b/>
        </w:rPr>
        <w:t xml:space="preserve">fine-grained evidence-sufficiency relation diagnosis framework</w:t>
      </w:r>
      <w:r>
        <w:t xml:space="preserve"> for rare high-risk scientific action overclaims, positioned on the existing scientific overstatement / evidence-force calibration track rather than claiming to open a new field.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 and that this calibration question benefits from a </w:t>
      </w:r>
      <w:r>
        <w:rPr>
          <w:i/>
        </w:rPr>
        <w:t xml:space="preserve">relation-type decomposition</w:t>
      </w:r>
      <w:r>
        <w:t xml:space="preserve"> (supported, mild_scope_overclaim, strong_action_overclaim, contradiction_candidate) rather than a single continuous overstatement score alone.</w:t>
      </w:r>
    </w:p>
    <w:p>
      <w:r>
        <w:t xml:space="preserve">On the controlled silver-stage evaluation, 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screening-oriented complement to black-box LLM judges, not a replacement and not a state-of-the-art overstatement detector.</w:t>
      </w:r>
      <w:r>
        <w:t xml:space="preserve"> On the controlled silver-stage evaluation, LLM judges retain substantially higher overall macro-F1 (GPT-5.5: 0.5523 vs. R4: 0.3280 on matched 100) and contradiction-F1; R4 targets the specific high-risk boundary class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r>
        <w:rPr>
          <w:b/>
        </w:rPr>
        <w:t xml:space="preserve">The differentiation against RIGOURATE [30], ForceBench [35], and CLAIM-BENCH [28] is positioning-level (§II.A, Table X): CESE-OCN outputs a four-class relation label on a single claim and targets the high-risk action-overclaim sub-class as a screening target, complementing continuous overstatement scoring, contrastive paired-claim force testing, and full-paper claim-evidence extraction.</w:t>
      </w:r>
      <w:r>
        <w:t xml:space="preserve"> This is a conceptual complementarity, not an empirically benchmarked head-to-head advantage (§IX item 9). The §VI.E RIGOURATE-style scalar proxy baseline — explicitly labelled as proxy, NOT the official RIGOURATE system (official code/data/model not publicly available as of 2026-07-05) — provides controlled silver-stage evidence that a scalar score cannot reliably distinguish mild from strong_action (ROC-AUC ≤ 0.59) and that R4 retains targeted screening value on the high-risk boundary class (R4 strong_F1 = 0.3967 vs. rule_scalar best-F1 = 0.3844 on silver 444; R4 strong_F1 = 0.3000 vs. rule_scalar = 0.1364 on matched 100). This complementarity is the empirical motivation for CESE-OCN's four-class decomposition, but it is validation-pending: the proxy is not the official RIGOURATE system, the nli_scalar_score baseline is BLOCKED with `blocked_reason` recorded, and all evaluation is on silver labels (pre-gold).</w:t>
      </w:r>
    </w:p>
    <w:p>
      <w:r>
        <w:t xml:space="preserve">The result is </w:t>
      </w:r>
      <w:r>
        <w:rPr>
          <w:b/>
        </w:rPr>
        <w:t xml:space="preserve">validation-pending</w:t>
      </w:r>
      <w:r>
        <w:t xml:space="preserve">. The author sanity audit flags 62.5% of silver labels as questionable or unclear, reinforcing that the pre-registered gold adjudication (§VII) — now upgraded to a two-layer gold protocol (§VII.J: Layer 1 relation label + Layer 2 claim realism, with pre-registered 25% class-level and paper-level realism thresholds) — is the protocol-locked mechanism that determines whether the LLM under-detection finding is treated as established. The paper is reported with clear silver-label boundaries, without claims of final benchmark readiness, and without claims that R4 outperforms LLM judges overall. R4 provides targeted value for strong_action_overclaim detection and evidence sufficiency calibration — as a screening-oriented complement to LLM judges, not a replacement. </w:t>
      </w:r>
      <w:r>
        <w:rPr>
          <w:b/>
        </w:rPr>
        <w:t xml:space="preserve">The controlled silver-stage evidence motivates the protocol-locked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controlled silver-stage evaluation, R4 improves strong-action positive-F1 from 0.2408 to 0.3967 while preserving contradiction and escalation performance."</w:t>
      </w:r>
    </w:p>
    <w:p>
      <w:pPr>
        <w:pStyle w:val="ListBullet"/>
      </w:pPr>
      <w:r>
        <w:t xml:space="preserve">"On the controlled silver-stage evaluation, the conservative-strong router yields a strong-action positive-F1 delta of +0.1559 (CI [0.1058, 0.1988], 10/10 seeds positive)."</w:t>
      </w:r>
    </w:p>
    <w:p>
      <w:pPr>
        <w:pStyle w:val="ListBullet"/>
      </w:pPr>
      <w:r>
        <w:t xml:space="preserve">"Under the tested prompts, generic LLM judges (GPT-5.5, DeepSeek-V3) under-detect strong_action_overclaim on the controlled silver-stage evaluation — a validation-pending finding."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screening-oriented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the pre-registered gold adjudication (§VII) is the protocol-locked validation mechanism."</w:t>
      </w:r>
    </w:p>
    <w:p>
      <w:pPr>
        <w:pStyle w:val="ListBullet"/>
      </w:pPr>
      <w:r>
        <w:t xml:space="preserve">"The framework is positioned as a controlled silver-stage action-overclaim diagnostic with a protocol-locked validation mechanism."</w:t>
      </w:r>
    </w:p>
    <w:p>
      <w:pPr>
        <w:pStyle w:val="ListBullet"/>
      </w:pPr>
      <w:r>
        <w:t xml:space="preserve">"The controlled silver-stage evidence motivates the protocol-locked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"under-detection pattern observed under the tested prompts, validation-pending" instead)</w:t>
      </w:r>
    </w:p>
    <w:p>
      <w:pPr>
        <w:pStyle w:val="ListBullet"/>
      </w:pPr>
      <w:r>
        <w:t xml:space="preserve">"Validated taxonomy." (use "frozen taxonomy pending protocol-locked gold validation" instead)</w:t>
      </w:r>
    </w:p>
    <w:p>
      <w:pPr>
        <w:pStyle w:val="ListBullet"/>
      </w:pPr>
      <w:r>
        <w:t xml:space="preserve">"Final proof." (use "controlled silver-stage evidence" instead)</w:t>
      </w:r>
    </w:p>
    <w:p>
      <w:pPr>
        <w:pStyle w:val="ListBullet"/>
      </w:pPr>
      <w:r>
        <w:t xml:space="preserve">"Gold benchmark." (use "controlled silver-stage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"under-detection pattern observed under the tested prompts" instead).</w:t>
      </w:r>
    </w:p>
    <w:p>
      <w:pPr>
        <w:pStyle w:val="ListBullet"/>
      </w:pPr>
      <w:r>
        <w:t xml:space="preserve">"Submission-ready / final benchmark complete." (this is a framework-level contribution with a protocol-locked validation mechanism; gold validation is planned but not completed)</w:t>
      </w:r>
    </w:p>
    <w:p>
      <w:pPr>
        <w:pStyle w:val="ListBullet"/>
      </w:pPr>
      <w:r>
        <w:t xml:space="preserve">"Workshop / pilot-only / low-config positioning." (this is a high-standard framework contribution)</w:t>
      </w:r>
    </w:p>
    <w:p>
      <w:pPr>
        <w:pStyle w:val="ListBullet"/>
      </w:pPr>
      <w:r>
        <w:t xml:space="preserve">"We introduce scientific overstatement detection / evidence sufficiency calibration as a new field." (this work builds on RIGOURATE [30], evidence-licensed claims [31], ForceBench [35], and CLAIM-BENCH [28]; it is a fine-grained relation-type decomposition on the existing track, not a new field)</w:t>
      </w:r>
    </w:p>
    <w:p>
      <w:pPr>
        <w:pStyle w:val="ListBullet"/>
      </w:pPr>
      <w:r>
        <w:t xml:space="preserve">"First work / first benchmark / first to propose evidence sufficiency calibration." (use "fine-grained diagnostic variant of evidence-sufficiency calibration" instead)</w:t>
      </w:r>
    </w:p>
    <w:p>
      <w:pPr>
        <w:pStyle w:val="ListBullet"/>
      </w:pPr>
      <w:r>
        <w:t xml:space="preserve">"CESE-OCN outperforms RIGOURATE / ForceBench / CLAIM-BENCH." (the differentiation is positioning-level, not a head-to-head empirical benchmark; §II.A, Table X, §IX item 9)</w:t>
      </w:r>
    </w:p>
    <w:p>
      <w:pPr>
        <w:pStyle w:val="ListBullet"/>
      </w:pPr>
      <w:r>
        <w:t xml:space="preserve">"SimClaim is a natural-prevalence corpus." (SimClaim is a controlled counterfactual diagnostic set; §V.A)</w:t>
      </w:r>
    </w:p>
    <w:p>
      <w:pPr>
        <w:pStyle w:val="ListBullet"/>
      </w:pPr>
      <w:r>
        <w:t xml:space="preserve">"The silver-stage screening finding transfers to natural scientific writing." (the proposed gold-realism audit §VII.I has not yet been run; natural-claim transferability is not established)</w:t>
      </w:r>
    </w:p>
    <w:p>
      <w:pPr>
        <w:pStyle w:val="Heading3"/>
      </w:pPr>
      <w:r>
        <w:t xml:space="preserve">Preferred language:</w:t>
      </w:r>
    </w:p>
    <w:p>
      <w:pPr>
        <w:pStyle w:val="ListBullet"/>
      </w:pPr>
      <w:r>
        <w:t xml:space="preserve">"under the tested prompts" / "under this tested setting"</w:t>
      </w:r>
    </w:p>
    <w:p>
      <w:pPr>
        <w:pStyle w:val="ListBullet"/>
      </w:pPr>
      <w:r>
        <w:t xml:space="preserve">"on the controlled silver-stage evaluation"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"under-detection pattern observed under the tested prompts" (NOT "systematic blind spot", NOT "established")</w:t>
      </w:r>
    </w:p>
    <w:p>
      <w:pPr>
        <w:pStyle w:val="ListBullet"/>
      </w:pPr>
      <w:r>
        <w:t xml:space="preserve">"on the controlled silver-stage evaluation" / "AI-preannotated, author-screened labels"</w:t>
      </w:r>
    </w:p>
    <w:p>
      <w:pPr>
        <w:pStyle w:val="ListBullet"/>
      </w:pPr>
      <w:r>
        <w:t xml:space="preserve">"framework-level contribution" / "validation-pending"</w:t>
      </w:r>
    </w:p>
    <w:p>
      <w:pPr>
        <w:pStyle w:val="ListBullet"/>
      </w:pPr>
      <w:r>
        <w:t xml:space="preserve">"suggests" / "is consistent with" / "does not support"</w:t>
      </w:r>
    </w:p>
    <w:p>
      <w:pPr>
        <w:pStyle w:val="ListBullet"/>
      </w:pPr>
      <w:r>
        <w:t xml:space="preserve">"screening-oriented complement to black-box LLM judges"</w:t>
      </w:r>
    </w:p>
    <w:p>
      <w:pPr>
        <w:pStyle w:val="ListBullet"/>
      </w:pPr>
      <w:r>
        <w:t xml:space="preserve">"protocol-locked validation mechanism" / "pre-registered adjudication"</w:t>
      </w:r>
    </w:p>
    <w:p>
      <w:pPr>
        <w:pStyle w:val="ListBullet"/>
      </w:pPr>
      <w:r>
        <w:t xml:space="preserve">"high-risk boundary class" / "controlled silver-stage evidence"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