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Evidence Sufficiency Calibration for Scientific Claims: A Mixed Relation-Routing Framework</w:t>
      </w:r>
    </w:p>
    <w:p>
      <w:r>
        <w:rPr>
          <w:b/>
        </w:rPr>
        <w:t xml:space="preserve">Version:</w:t>
      </w:r>
      <w:r>
        <w:t xml:space="preserve"> V3.5 (presentation ready)</w:t>
      </w:r>
    </w:p>
    <w:p>
      <w:r>
        <w:rPr>
          <w:b/>
        </w:rPr>
        <w:t xml:space="preserve">Date:</w:t>
      </w:r>
      <w:r>
        <w:t xml:space="preserve"> 2026-07-04</w:t>
      </w:r>
    </w:p>
    <w:p>
      <w:r>
        <w:rPr>
          <w:b/>
        </w:rPr>
        <w:t xml:space="preserve">Changes from V3.4:</w:t>
      </w:r>
      <w:r>
        <w:t xml:space="preserve"> Presentation pass — abstract tightened to ~200 words, introduction compressed to six paragraphs, Method/Problem Definition fitted with Figures 1-2, Results fitted with Figure 3 and three clean main tables, Discussion restructured into four subsections, detail moved to appendix case studies, submission snapshot added. No new experiments, no API calls, no new data, no change to conclusions.</w:t>
      </w:r>
    </w:p>
    <w:p>
      <w:r>
        <w:t xml:space="preserve">Author information to be added before submission</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a more frequent failure mode is that evidence is topically relevant but does not justify the </w:t>
      </w:r>
      <w:r>
        <w:rPr>
          <w:i/>
        </w:rPr>
        <w:t xml:space="preserve">strength</w:t>
      </w:r>
      <w:r>
        <w:t xml:space="preserve"> of the claim — particularly when a claim asserts deployment readiness, actionability, safety, or operational conclusions on the basis of limited experimental evidence. We call this task </w:t>
      </w:r>
      <w:r>
        <w:rPr>
          <w:b/>
        </w:rPr>
        <w:t xml:space="preserve">evidence sufficiency calibration</w:t>
      </w:r>
      <w:r>
        <w:t xml:space="preserve">, formulated as a four-class relation problem: supported, mild_scope_overclaim, strong_action_overclaim, and contradiction_candidate. We present CESE-OCN R4, a mixed relation-routing framework that complements generic LLM/NLI judges via a contradiction detector, a scope-calibration residual classifier, and a conservative strong-action escalation route. On a silver-label pilot of 444 pairs across six domains, R4 improves strong_action positive-F1 from 0.2408 to 0.3967 while preserving contradiction performance. On 200 matched samples, DeepSeek-V3 reaches macro-F1 0.5270 but strong_action-F1 only 0.0769 (recall 0.04). On 100 matched samples, GPT-5.5 standard and structured prompts both yield strong_action-F1 0.0769, while R4 reaches 0.3000 — but with substantially lower overall macro-F1 (0.3280 vs. 0.5523). R4 is positioned as a relation-specific complement, not a replacement. Results are exploratory: labels are silver, not gold; the LLM comparison is prompt/model/sample-specific.</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established by FEVER [1], SNLI [2], and SciFact [3] — is effective for factual correctness, but it is </w:t>
      </w:r>
      <w:r>
        <w:rPr>
          <w:b/>
        </w:rPr>
        <w:t xml:space="preserve">insufficient</w:t>
      </w:r>
      <w:r>
        <w:t xml:space="preserve"> for scientific claim calibration, where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most consequential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We test this hypothesis empirically. Under the tested prompts, generic LLM judges are strong on overall support/refutation and contradiction (GPT-5.5 macro-F1 = 0.5523, DeepSeek-V3 macro-F1 = 0.5270 on matched samples), but they </w:t>
      </w:r>
      <w:r>
        <w:rPr>
          <w:b/>
        </w:rPr>
        <w:t xml:space="preserve">consistently under-detect strong_action_overclaim on the tested samples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single tested prompt setting (Figure 3).</w:t>
      </w:r>
    </w:p>
    <w:p>
      <w:r>
        <w:t xml:space="preserve">We therefore position CESE-OCN R4 as a </w:t>
      </w:r>
      <w:r>
        <w:rPr>
          <w:b/>
        </w:rPr>
        <w:t xml:space="preserve">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(absolute gap +0.2231). </w:t>
      </w:r>
      <w:r>
        <w:rPr>
          <w:b/>
        </w:rPr>
        <w:t xml:space="preserve">R4 is not the strongest model on overall macro-F1 — LLM judges retain that, with GPT-5.5 at 0.5523 vs. R4 at 0.3280 on the matched 100 — but it provides targeted value on the relation that LLM judges miss under the tested prompts.</w:t>
      </w:r>
      <w:r>
        <w:t xml:space="preserve"> This positioning as a relation-specific complement, rather than a competitive replacement, is central to the paper's contribution.</w:t>
      </w:r>
    </w:p>
    <w:p>
      <w:r>
        <w:t xml:space="preserve">This manuscript makes four cautious contributions:</w:t>
      </w:r>
    </w:p>
    <w:p>
      <w:r>
        <w:t xml:space="preserve">(i) It frames scientific claim calibration as </w:t>
      </w:r>
      <w:r>
        <w:rPr>
          <w:b/>
        </w:rPr>
        <w:t xml:space="preserve">evidence sufficiency calibration</w:t>
      </w:r>
      <w:r>
        <w:t xml:space="preserve">, a four-class relation task distinguishing strong_action_overclaim from generic support/refutation/NEI, with concrete taxonomy examples (Table 2) and an operational decision tree (Figure 2).</w:t>
      </w:r>
    </w:p>
    <w:p>
      <w:r>
        <w:t xml:space="preserve">(ii) It constructs a </w:t>
      </w:r>
      <w:r>
        <w:rPr>
          <w:b/>
        </w:rPr>
        <w:t xml:space="preserve">silver diagnostic set</w:t>
      </w:r>
      <w:r>
        <w:t xml:space="preserve"> of 444 claim-evidence pairs across 111 evidence groups and six domains, with AI-preannotated and author-screened labels, and an author sanity audit of 40 silver labels that explicitly flags 25/40 as questionable or unclear.</w:t>
      </w:r>
    </w:p>
    <w:p>
      <w:r>
        <w:t xml:space="preserve">(iii) It introduces </w:t>
      </w:r>
      <w:r>
        <w:rPr>
          <w:b/>
        </w:rPr>
        <w:t xml:space="preserve">CESE-OCN R4</w:t>
      </w:r>
      <w:r>
        <w:t xml:space="preserve">, a conservative strong-action router as a mixed relation-routing framework that complements black-box LLM judges, with explicit acknowledgment that R4 sacrifices overall macro-F1 for targeted strong_action recall.</w:t>
      </w:r>
    </w:p>
    <w:p>
      <w:r>
        <w:t xml:space="preserve">(iv) It reports a </w:t>
      </w:r>
      <w:r>
        <w:rPr>
          <w:b/>
        </w:rPr>
        <w:t xml:space="preserve">matched-sample LLM judge comparison</w:t>
      </w:r>
      <w:r>
        <w:t xml:space="preserve"> (DeepSeek-V3, GPT-5.5 standard, GPT-5.5 structured) showing that under the tested prompts, this structured decomposition design does not improve strong_action detection, while R4 provides complementary value on this relation — bounded by silver-label and single-run limitations.</w:t>
      </w:r>
    </w:p>
    <w:p>
      <w:r>
        <w:t xml:space="preserve">The remainder of the paper is organized as follows: §II positions the work; §III formulates the task and provides taxonomy examples and the decision tree (Figure 2); §IV describes the CESE-OCN R4 framework (Figure 1); §V describes the data and protocol; §VI reports results (Figure 3, Tables 1-3); §VII discusses implications; §VIII states limitations; §IX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r>
        <w:t xml:space="preserve">The current results suggest that contradiction, scope shift, and action escalation should not be treated as identical classification errors.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(baseline strong-F1 0.2408), and why a relation-specific router (R4, strong-F1 0.3967) is needed.</w:t>
      </w:r>
    </w:p>
    <w:p>
      <w:r>
        <w:t xml:space="preserve">The revised manuscript is a </w:t>
      </w:r>
      <w:r>
        <w:rPr>
          <w:b/>
        </w:rPr>
        <w:t xml:space="preserve">pilot validation</w:t>
      </w:r>
      <w:r>
        <w:t xml:space="preserve"> of an evidence-sufficiency calibration framework with a relation-specific router. It is </w:t>
      </w:r>
      <w:r>
        <w:rPr>
          <w:b/>
        </w:rPr>
        <w:t xml:space="preserve">not</w:t>
      </w:r>
      <w:r>
        <w:t xml:space="preserve"> a final public benchmark, </w:t>
      </w:r>
      <w:r>
        <w:rPr>
          <w:b/>
        </w:rPr>
        <w:t xml:space="preserve">not</w:t>
      </w:r>
      <w:r>
        <w:t xml:space="preserve"> a human-gold evaluation, and </w:t>
      </w:r>
      <w:r>
        <w:rPr>
          <w:b/>
        </w:rPr>
        <w:t xml:space="preserve">not</w:t>
      </w:r>
      <w:r>
        <w:t xml:space="preserve"> a claim that all four classes are solved. All LLM comparison results are labeled as small-sample pilot (N ≤ 200) and are never merged with SimClaim main results or claimed as gold standard.</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not as gold adjudications.</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r>
        <w:t xml:space="preserve">![Figure 2: Taxonomy Decision Tree](figure_2_taxonomy_decision_tree.md)</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gold standard. Cases where the tree yields ambiguous results are flagged as boundary cases for future gold adjudication (§V.D, `high_risk_sample_bank.csv`). Table 2 (§VI) provides 8 illustrative examples (2 per class) from the SimClaim silver set; full versions are in `table_taxonomy_examples_clean.csv`.</w:t>
      </w:r>
    </w:p>
    <w:p>
      <w:pPr>
        <w:pStyle w:val="Heading3"/>
      </w:pPr>
      <w:r>
        <w:t xml:space="preserve">C. Why strong_action_overclaim Is the Core Hard Case</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pPr>
        <w:pStyle w:val="Heading2"/>
      </w:pPr>
      <w:r>
        <w:t xml:space="preserve">IV. CESE-OCN 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pilot results support this: contradiction is comparatively well captured by NLI-style evidence signals (NLI-only strong-F1 = 0.3934), while strong_action_overclaim requires action-aware features that NLI does not provide (action-gap-only strong-F1 = 0.3648; NLI + action-gap = 0.4209).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Thresholds are frozen operationalizations of this principle, selected on train/dev under pre-specified constraints (§IV.D) and then frozen. R4 is explicitly a </w:t>
      </w:r>
      <w:r>
        <w:rPr>
          <w:b/>
        </w:rPr>
        <w:t xml:space="preserve">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r>
        <w:t xml:space="preserve">![Figure 1: Method Flow](figure_1_method_flow.md)</w:t>
      </w:r>
    </w:p>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diagnostic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Silver-Label Pilot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should not be described as human-gold.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pilot,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(§VIII).</w:t>
      </w:r>
    </w:p>
    <w:p>
      <w:pPr>
        <w:pStyle w:val="Heading3"/>
      </w:pPr>
      <w:r>
        <w:t xml:space="preserve">C. External Public Dataset Sanity Check</w:t>
      </w:r>
    </w:p>
    <w:p>
      <w:r>
        <w:t xml:space="preserve">To test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This is a </w:t>
      </w:r>
      <w:r>
        <w:rPr>
          <w:b/>
        </w:rPr>
        <w:t xml:space="preserve">sanity check</w:t>
      </w:r>
      <w:r>
        <w:t xml:space="preserve"> for generic support/refutation transfer; it cannot replace SimClaim gold evaluation.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not ready to be treated as gold. The 25 questionable/unclear cases are concentrated at the two hardest taxonomy boundaries (mild-vs-strong and strong-vs-contradiction), which is expected for an evidence-sufficiency task. The LLM under-detection finding (§VI.C) is computed against these silver labels, and the high questionable/unclear rate means the finding must be interpreted as </w:t>
      </w:r>
      <w:r>
        <w:rPr>
          <w:b/>
        </w:rPr>
        <w:t xml:space="preserve">diagnostic evidence against silver labels, pending independent gold adjudication</w:t>
      </w:r>
      <w:r>
        <w:t xml:space="preserve"> — not as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future gold adjudication priority; `trusted_case_bank.csv` (18 cases, ≥4 per class) provides clear illustrative cases for paper examples — none of which are claimed as gold. The full audit is in `author_sanity_audit_40.csv`.</w:t>
      </w:r>
    </w:p>
    <w:p>
      <w:pPr>
        <w:pStyle w:val="Heading3"/>
      </w:pPr>
      <w:r>
        <w:t xml:space="preserve">E. Exploratory Framing</w:t>
      </w:r>
    </w:p>
    <w:p>
      <w:r>
        <w:t xml:space="preserve">Because the dataset is small, silver-labeled, and the author sanity audit flags substantial label uncertainty, all results are framed as </w:t>
      </w:r>
      <w:r>
        <w:rPr>
          <w:b/>
        </w:rPr>
        <w:t xml:space="preserve">exploratory pilot validation</w:t>
      </w:r>
      <w:r>
        <w:t xml:space="preserve">. A higher-tier confirmatory submission would require 300–500 independently adjudicated claim-evidence pairs, inter-annotator agreement statistics, significance tests against stronger external baselines, and external validation.</w:t>
      </w:r>
    </w:p>
    <w:p>
      <w:pPr>
        <w:pStyle w:val="Heading2"/>
      </w:pPr>
      <w:r>
        <w:t xml:space="preserve">VI. Results</w:t>
      </w:r>
    </w:p>
    <w:p>
      <w:pPr>
        <w:pStyle w:val="Heading3"/>
      </w:pPr>
      <w:r>
        <w:t xml:space="preserve">A. Internal Silver Diagnostic Results (Table 1)</w:t>
      </w:r>
    </w:p>
    <w:p>
      <w:r>
        <w:t xml:space="preserve">The strongest supported result is that R4 improves strong-action positive-F1 while preserving contradiction and escalation.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(silver-label pilot,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LIMITATION, not a feature: R4 improves strong recall at the cost of supported/mild → strong false positives.</w:t>
      </w:r>
    </w:p>
    <w:p>
      <w:pPr>
        <w:pStyle w:val="Heading3"/>
      </w:pPr>
      <w:r>
        <w:t xml:space="preserve">B. LLM Judge Comparison (Table 2, Figure 3)</w:t>
      </w:r>
    </w:p>
    <w:p>
      <w:r>
        <w:t xml:space="preserve">This is the central new analysis. We compare R4 against generic LLM judges on matched SimClaim samples.</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t xml:space="preserve">![Figure 3: LLM vs R4 strong gap](figure_3_llm_vs_r4_strong_gap.md)</w:t>
      </w:r>
    </w:p>
    <w:p>
      <w:r>
        <w:rPr>
          <w:b/>
        </w:rPr>
        <w:t xml:space="preserve">Figure 3.</w:t>
      </w:r>
      <w:r>
        <w:t xml:space="preserve"> LLM vs. R4 strong_action gap on matched SimClaim samples.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LLMs are stronger overall, but R4 targets the strong_action gap.</w:t>
      </w:r>
    </w:p>
    <w:p>
      <w:r>
        <w:rPr>
          <w:b/>
        </w:rPr>
        <w:t xml:space="preserve">Key findings:</w:t>
      </w:r>
    </w:p>
    <w:p>
      <w:pPr>
        <w:pStyle w:val="ListNumber"/>
      </w:pPr>
      <w:r>
        <w:rPr>
          <w:b/>
        </w:rPr>
        <w:t xml:space="preserve">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(precision 1.0, recall 0.04 = 1/25), while reaching macro-F1 0.5270 and contradiction-F1 0.8317 — strong overall, missing strong_action.</w:t>
      </w:r>
    </w:p>
    <w:p>
      <w:pPr>
        <w:pStyle w:val="ListNumber"/>
      </w:pPr>
      <w:r>
        <w:rPr>
          <w:b/>
        </w:rPr>
        <w:t xml:space="preserve">R4 provides targeted complementary value.</w:t>
      </w:r>
      <w:r>
        <w:t xml:space="preserve"> On the same 100 samples where GPT and DeepSeek achieve strong_F1 0.0769, R4 achieves strong_F1 0.3000 (absolute gap +0.2231). On the 200-sample set, R4 achieves strong_F1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outperforming LLM judges overall.</w:t>
      </w:r>
      <w:r>
        <w:t xml:space="preserve"> R4's macro-F1 (0.3280) is substantially lower than GPT-5.5 (0.5523) and DeepSeek-V3 (0.5248) on the same 100 matched samples. R4's value is relation-specific: it targets the strong_action_overclaim relation that LLM judges miss under the tested prompts. We do not claim R4 is better than LLM judges overall — we claim R4 provides targeted value on strong_action_overclaim, at the cost of lower overall macro-F1.</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validation before the LLM blind spot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future gold adjudication priority; `trusted_case_bank.csv` (18 cases, ≥4 per class) provides clear illustrative cases for paper examples — none claimed as gold.</w:t>
      </w:r>
    </w:p>
    <w:p>
      <w:pPr>
        <w:pStyle w:val="Heading3"/>
      </w:pPr>
      <w:r>
        <w:t xml:space="preserve">D. External Public Dataset Sanity Check</w:t>
      </w:r>
    </w:p>
    <w:p>
      <w:r>
        <w:t xml:space="preserve">We run a small gold-derived subset evaluation on SciFact and VitaminC. </w:t>
      </w:r>
      <w:r>
        <w:rPr>
          <w:b/>
        </w:rPr>
        <w:t xml:space="preserve">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external check validates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external check does and does not show:</w:t>
      </w:r>
    </w:p>
    <w:p>
      <w:pPr>
        <w:pStyle w:val="ListBullet"/>
      </w:pPr>
      <w:r>
        <w:t xml:space="preserve">✅ R4-compatible methods run on public data without crash (contradiction + scope components transfer).</w:t>
      </w:r>
    </w:p>
    <w:p>
      <w:pPr>
        <w:pStyle w:val="ListBullet"/>
      </w:pPr>
      <w:r>
        <w:t xml:space="preserve">✅ NLI cross-encoder is a strong generic support/refutation baseline on public data.</w:t>
      </w:r>
    </w:p>
    <w:p>
      <w:pPr>
        <w:pStyle w:val="ListBullet"/>
      </w:pPr>
      <w:r>
        <w:t xml:space="preserve">❌ Public datasets </w:t>
      </w:r>
      <w:r>
        <w:rPr>
          <w:b/>
        </w:rPr>
        <w:t xml:space="preserve">cannot</w:t>
      </w:r>
      <w:r>
        <w:t xml:space="preserve"> test the four-class evidence-sufficiency taxonomy (no action-overclaim labels).</w:t>
      </w:r>
    </w:p>
    <w:p>
      <w:pPr>
        <w:pStyle w:val="ListBullet"/>
      </w:pPr>
      <w:r>
        <w:t xml:space="preserve">❌ Public datasets </w:t>
      </w:r>
      <w:r>
        <w:rPr>
          <w:b/>
        </w:rPr>
        <w:t xml:space="preserve">cannot</w:t>
      </w:r>
      <w:r>
        <w:t xml:space="preserve"> replace SimClaim gold evaluation.</w:t>
      </w:r>
    </w:p>
    <w:p>
      <w:pPr>
        <w:pStyle w:val="ListBullet"/>
      </w:pPr>
      <w:r>
        <w:t xml:space="preserve">❌ Public results are </w:t>
      </w:r>
      <w:r>
        <w:rPr>
          <w:b/>
        </w:rPr>
        <w:t xml:space="preserve">sanity checks</w:t>
      </w:r>
      <w:r>
        <w:t xml:space="preserve">, not benchmark superiority claims.</w:t>
      </w:r>
    </w:p>
    <w:p>
      <w:pPr>
        <w:pStyle w:val="Heading2"/>
      </w:pPr>
      <w:r>
        <w:t xml:space="preserve">VII.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most consequential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fails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complementary positioning, not a competitive one. A combined system — LLM judge for supported/mild/contradiction, R4 for strong_action — could potentially exploit this complementarity, though we leave that to future work. Whether the macro-F1 gap is an acceptable trade-off depends on the downstream use case — for action-overclaim monitoring where missing a strong_action case is costly, the trade-off may be favorable; for generic claim verification, an LLM judge alone is preferable.</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consistent across the two tested models. Both GPT-5.5 and DeepSeek-V3 converge on strong_F1 = 0.0769 (recall = 0.04 = 1/25), and this structured 5-step decomposition prompt design does not change this. This suggests a consistent under-detection pattern under the tested prompts, not a single-model quirk. We do not claim this is a fundamental limit of LLMs — it is prompt/model/sample specific and computed against silver labels (which the author sanity audit flags as 62.5% questionable/unclear) — but under the tested prompts, the pattern is consistent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Independent gold validation is required before this pattern can be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diagnostic pattern (R4 &gt; LLM on strong_action) may hold even if individual labels shift under gold adjudication — but this is not guaranteed; (2) the paper's claims are limited to aggregate diagnostic patterns,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future gold adjudication priority.</w:t>
      </w:r>
    </w:p>
    <w:p>
      <w:pPr>
        <w:pStyle w:val="Heading3"/>
      </w:pPr>
      <w:r>
        <w:t xml:space="preserve">D. What Remains Unresolved</w:t>
      </w:r>
    </w:p>
    <w:p>
      <w:r>
        <w:t xml:space="preserve">The most consequential unresolved issue is </w:t>
      </w:r>
      <w:r>
        <w:rPr>
          <w:b/>
        </w:rPr>
        <w:t xml:space="preserve">independent gold adjudication</w:t>
      </w:r>
      <w:r>
        <w:t xml:space="preserve">.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decision-tree validation, prompt robustness sweeps, and open-source LLM replications are completed, the current results should be reported with clear silver-label limitations, without claims of final benchmark readiness, and without claims that R4 outperforms LLM judges overall.</w:t>
      </w:r>
    </w:p>
    <w:p>
      <w:pPr>
        <w:pStyle w:val="Heading2"/>
      </w:pPr>
      <w:r>
        <w:t xml:space="preserve">VIII. Limitations</w:t>
      </w:r>
    </w:p>
    <w:p>
      <w:r>
        <w:t xml:space="preserve">This work is a </w:t>
      </w:r>
      <w:r>
        <w:rPr>
          <w:b/>
        </w:rPr>
        <w:t xml:space="preserve">diagnostic pilot study</w:t>
      </w:r>
      <w:r>
        <w:t xml:space="preserve">, not a confirmatory benchmark. The limitations below define the boundary of what the current results do and do not support.</w:t>
      </w:r>
    </w:p>
    <w:p>
      <w:pPr>
        <w:pStyle w:val="ListNumber"/>
      </w:pPr>
      <w:r>
        <w:rPr>
          <w:b/>
        </w:rPr>
        <w:t xml:space="preserve">Silver labels are not gold labels.</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exploratory on the silver set. We do not claim gold/human-audited performance, human kappa, or Q1 readiness from silver data alone. The LLM under-detection finding (§VI.B) is computed against these silver labels and must be interpreted as diagnostic evidence, pending independent gold adjudication.</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Future gold annotation should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consistent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R4 macro-F1 = 0.3280 vs. GPT-5.5 = 0.5523 (gap 0.22). R4 is a relation-specific diagnostic complement, not a general-purpose classifier. It sacrifices macro-F1 for strong_action recall. We do not claim R4 is better than LLM judges overall — we claim R4 provides targeted value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(R4 strong-F1 = 0.3967, LLM strong-F1 = 0.0769) should be read as diagnostic evidence on a hard boundary, not as stable benchmark numbers. Future gold annotation should use two annotators with adjudication specifically on mild-vs-strong cases, and report inter-annotator agreement separately for this boundary.</w:t>
      </w:r>
    </w:p>
    <w:p>
      <w:pPr>
        <w:pStyle w:val="ListNumber"/>
      </w:pPr>
      <w:r>
        <w:rPr>
          <w:b/>
        </w:rPr>
        <w:t xml:space="preserve">External datasets do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pilot, N ≤ 200" and are never merged with SimClaim main results or claimed as gold standard.</w:t>
      </w:r>
    </w:p>
    <w:p>
      <w:r>
        <w:t xml:space="preserve">These limitations do not invalidate the framework — they bound the strength of its claims. The contribution is a falsifiable framework and a frozen main method whose numeric claims are constrained by the paper-ready result pack, positioned as a diagnostic complement to LLM judges rather than a competitive replacement.</w:t>
      </w:r>
    </w:p>
    <w:p>
      <w:pPr>
        <w:pStyle w:val="Heading2"/>
      </w:pPr>
      <w:r>
        <w:t xml:space="preserve">IX. Conclusion</w:t>
      </w:r>
    </w:p>
    <w:p>
      <w:r>
        <w:t xml:space="preserve">This revision reframes CESE-OCN as an </w:t>
      </w:r>
      <w:r>
        <w:rPr>
          <w:b/>
        </w:rPr>
        <w:t xml:space="preserve">evidence sufficiency calibration</w:t>
      </w:r>
      <w:r>
        <w:t xml:space="preserve"> framework, rather than a generic claim verification system.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w:t>
      </w:r>
    </w:p>
    <w:p>
      <w:r>
        <w:t xml:space="preserve">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consistently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complement to black-box LLM judges, not a replacement.</w:t>
      </w:r>
      <w:r>
        <w:t xml:space="preserve"> LLM judges retain substantially higher overall macro-F1 (GPT-5.5: 0.5523 vs. R4: 0.3280 on matched 100) and contradiction-F1; R4 targets the specific relation they miss under the tested prompts, at the cost of lower macro-F1. External sanity checks on SciFact and VitaminC show R4-compatible methods run on public data but underperform NLI cross-encoders on generic support/refutation; public data cannot test the four-class evidence-sufficiency taxonomy.</w:t>
      </w:r>
    </w:p>
    <w:p>
      <w:r>
        <w:t xml:space="preserve">The result is promising but exploratory. The author sanity audit flags 62.5% of silver labels as questionable or unclear, confirming that independent gold adjudication is required before the LLM under-detection finding can be treated as established. The paper should be reported with clear silver-label limitations, without claims of final benchmark readiness, and without claims that R4 outperforms LLM judges overall. R4 provides targeted value for strong_action_overclaim detection and evidence sufficiency calibration — as a complement to LLM judges, not a replacement.</w:t>
      </w:r>
    </w:p>
    <w:p>
      <w:pPr>
        <w:pStyle w:val="Heading2"/>
      </w:pPr>
      <w:r>
        <w:t xml:space="preserve">Appendix A. Case Studies</w:t>
      </w:r>
    </w:p>
    <w:p>
      <w:r>
        <w:t xml:space="preserve">See `appendix_case_studies.md` for 8 detailed case studies: 4 trusted cases (one per class) and 4 boundary cases (mild vs. strong, strong vs. contradiction, supported vs. mild, evidence too short / context missing). Boundary cases are used to illustrate task difficulty, not to support strong claims.</w:t>
      </w:r>
    </w:p>
    <w:p>
      <w:pPr>
        <w:pStyle w:val="Heading2"/>
      </w:pPr>
      <w:r>
        <w:t xml:space="preserve">Appendix B. Language Guardrails</w:t>
      </w:r>
    </w:p>
    <w:p>
      <w:pPr>
        <w:pStyle w:val="Heading3"/>
      </w:pPr>
      <w:r>
        <w:t xml:space="preserve">Safe claims (allowed in the paper):</w:t>
      </w:r>
    </w:p>
    <w:p>
      <w:pPr>
        <w:pStyle w:val="ListBullet"/>
      </w:pPr>
      <w:r>
        <w:t xml:space="preserve">"R4 improves strong-action positive-F1 from 0.2408 to 0.3967 while preserving contradiction and escalation performance, on the current silver diagnostic set."</w:t>
      </w:r>
    </w:p>
    <w:p>
      <w:pPr>
        <w:pStyle w:val="ListBullet"/>
      </w:pPr>
      <w:r>
        <w:t xml:space="preserve">"On silver-label pilot data, the conservative-strong router yields a strong-action positive-F1 delta of +0.1559 (CI [0.1058, 0.1988], 10/10 seeds positive)."</w:t>
      </w:r>
    </w:p>
    <w:p>
      <w:pPr>
        <w:pStyle w:val="ListBullet"/>
      </w:pPr>
      <w:r>
        <w:t xml:space="preserve">"Under the tested prompts, generic LLM judges (GPT-5.5, DeepSeek-V3) consistently under-detect strong_action_overclaim on the tested samples, suggesting a consistent under-detection pattern under the tested setting."</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w:t>
      </w:r>
    </w:p>
    <w:p>
      <w:pPr>
        <w:pStyle w:val="ListBullet"/>
      </w:pPr>
      <w:r>
        <w:t xml:space="preserve">"R4's macro-F1 is substantially lower than LLM judges (0.3280 vs. 0.5523 on matched 100); R4 is a relation-specific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independent gold adjudication is required."</w:t>
      </w:r>
    </w:p>
    <w:p>
      <w:pPr>
        <w:pStyle w:val="ListBullet"/>
      </w:pPr>
      <w:r>
        <w:t xml:space="preserve">"The mixed framework is positioned as an action-overclaim diagnostic, not a final calibrated benchmark."</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"consistent under-detection pattern under the tested prompts" instead).</w:t>
      </w:r>
    </w:p>
    <w:p>
      <w:pPr>
        <w:pStyle w:val="Heading3"/>
      </w:pPr>
      <w:r>
        <w:t xml:space="preserve">Cautious language (preferred):</w:t>
      </w:r>
    </w:p>
    <w:p>
      <w:pPr>
        <w:pStyle w:val="ListBullet"/>
      </w:pPr>
      <w:r>
        <w:t xml:space="preserve">"under the tested prompts" / "under this tested setting"</w:t>
      </w:r>
    </w:p>
    <w:p>
      <w:pPr>
        <w:pStyle w:val="ListBullet"/>
      </w:pPr>
      <w:r>
        <w:t xml:space="preserve">"on the current silver diagnostic set" / "on the 100 matched samples"</w:t>
      </w:r>
    </w:p>
    <w:p>
      <w:pPr>
        <w:pStyle w:val="ListBullet"/>
      </w:pPr>
      <w:r>
        <w:t xml:space="preserve">"single-run, temperature 0, no variance estimate"</w:t>
      </w:r>
    </w:p>
    <w:p>
      <w:pPr>
        <w:pStyle w:val="ListBullet"/>
      </w:pPr>
      <w:r>
        <w:t xml:space="preserve">"prompt/model/sample specific"</w:t>
      </w:r>
    </w:p>
    <w:p>
      <w:pPr>
        <w:pStyle w:val="ListBullet"/>
      </w:pPr>
      <w:r>
        <w:t xml:space="preserve">"consistent under-detection pattern" (NOT "systematic blind spot")</w:t>
      </w:r>
    </w:p>
    <w:p>
      <w:pPr>
        <w:pStyle w:val="ListBullet"/>
      </w:pPr>
      <w:r>
        <w:t xml:space="preserve">"on silver-label pilot data" / "AI-preannotated, author-screened labels"</w:t>
      </w:r>
    </w:p>
    <w:p>
      <w:pPr>
        <w:pStyle w:val="ListBullet"/>
      </w:pPr>
      <w:r>
        <w:t xml:space="preserve">"exploratory pilot validation" / "not fully adjudicated gold"</w:t>
      </w:r>
    </w:p>
    <w:p>
      <w:pPr>
        <w:pStyle w:val="ListBullet"/>
      </w:pPr>
      <w:r>
        <w:t xml:space="preserve">"suggests" / "supports" / "is consistent with" / "does not support"</w:t>
      </w:r>
    </w:p>
    <w:p>
      <w:pPr>
        <w:pStyle w:val="ListBullet"/>
      </w:pPr>
      <w:r>
        <w:t xml:space="preserve">"complements black-box LLM judges"</w:t>
      </w:r>
    </w:p>
    <w:p>
      <w:pPr>
        <w:pStyle w:val="ListBullet"/>
      </w:pPr>
      <w:r>
        <w:t xml:space="preserve">"evidence sufficiency rather than generic factuality"</w:t>
      </w:r>
    </w:p>
    <w:p>
      <w:pPr>
        <w:pStyle w:val="ListBullet"/>
      </w:pPr>
      <w:r>
        <w:t xml:space="preserve">"relation-specific complement" / "diagnostic, not benchmark"</w:t>
      </w:r>
    </w:p>
    <w:p>
      <w:pPr>
        <w:pStyle w:val="ListBullet"/>
      </w:pPr>
      <w:r>
        <w:t xml:space="preserve">"pending independent gold validation"</w:t>
      </w:r>
    </w:p>
    <w:p>
      <w:pPr>
        <w:pStyle w:val="Heading2"/>
      </w:pPr>
      <w:r>
        <w:t xml:space="preserve">References</w:t>
      </w:r>
    </w:p>
    <w:p>
      <w:r>
        <w:t xml:space="preserve">[1] J. Thorne, A. Vlachos, C. Christodoulopoulos, and A. Mittal. 2018. FEVER: a Large-scale Dataset for Fact Extraction and VERification. NAACL-HLT.</w:t>
      </w:r>
    </w:p>
    <w:p>
      <w:r>
        <w:t xml:space="preserve">[2] S. R. Bowman, G. Angeli, C. Potts, and C. D. Manning. 2015. A large annotated corpus for learning natural language inference. EMNLP.</w:t>
      </w:r>
    </w:p>
    <w:p>
      <w:r>
        <w:t xml:space="preserve">[3] A. Wadden et al. 2020. Fact or Fiction: Verifying Scientific Claims. EMNLP.</w:t>
      </w:r>
    </w:p>
    <w:p>
      <w:r>
        <w:t xml:space="preserve">[4] P. McCullagh. 1980. Regression models for ordinal data. JRSS Series B, 42(2):109-142.</w:t>
      </w:r>
    </w:p>
    <w:p>
      <w:r>
        <w:t xml:space="preserve">[5] F. Samejima. 1969. Estimation of latent ability using a response pattern of graded scores. Psychometrika Monograph Supplement, No. 17.</w:t>
      </w:r>
    </w:p>
    <w:p>
      <w:r>
        <w:t xml:space="preserve">[6] W. Cao, V. Mirjalili, and S. Raschka. 2020. Rank consistent ordinal regression for neural networks. Pattern Recognition Letters / arXiv:1901.07884.</w:t>
      </w:r>
    </w:p>
    <w:p>
      <w:r>
        <w:t xml:space="preserve">[7] X. Shi, W. Cao, and S. Raschka. 2021. Deep Neural Networks for Rank-Consistent Ordinal Regression Based on Conditional Probabilities. arXiv:2111.08851.</w:t>
      </w:r>
    </w:p>
    <w:p>
      <w:r>
        <w:t xml:space="preserve">[8] M. Schlichtkrull et al. 2018. Modeling Relational Data with Graph Convolutional Networks. ESWC.</w:t>
      </w:r>
    </w:p>
    <w:p>
      <w:r>
        <w:t xml:space="preserve">[9] R. G. Sargent. 2013. Verification and validation of simulation models. Journal of Simulation, 7(1):12-24.</w:t>
      </w:r>
    </w:p>
    <w:p>
      <w:r>
        <w:t xml:space="preserve">[10] J. Pearl. 2009. Causality: Models, Reasoning, and Inference, 2nd ed. Cambridge University Press.</w:t>
      </w:r>
    </w:p>
    <w:p>
      <w:r>
        <w:t xml:space="preserve">[11] R. L. Keeney and H. Raiffa. 1976. Decisions with Multiple Objectives: Preferences and Value Tradeoffs. Wiley.</w:t>
      </w:r>
    </w:p>
    <w:p>
      <w:r>
        <w:t xml:space="preserve">[12] S. Es, J. James, L. Espinosa-Anke, and S. Schockaert. 2024. RAGAs: Automated Evaluation of Retrieval Augmented Generation. EACL Demo.</w:t>
      </w:r>
    </w:p>
    <w:p>
      <w:r>
        <w:t xml:space="preserve">[13] J. Saad-Falcon, O. Khattab, C. Potts, and M. Zaharia. 2024. ARES: An Automated Evaluation Framework for Retrieval-Augmented Generation Systems. NAACL.</w:t>
      </w:r>
    </w:p>
    <w:p>
      <w:r>
        <w:t xml:space="preserve">[14] Y. Liu et al. 2023. G-Eval: NLG Evaluation using GPT-4 with Better Human Alignment. EMNLP.</w:t>
      </w:r>
    </w:p>
    <w:p>
      <w:r>
        <w:t xml:space="preserve">[15] L. Zheng et al. 2023. Judging LLM-as-a-Judge with MT-Bench and Chatbot Arena. NeurIPS.</w:t>
      </w:r>
    </w:p>
    <w:p>
      <w:r>
        <w:t xml:space="preserve">[16] S. S. Stevens. 1946. On the theory of scales of measurement. Science, 103(2684):677-680.</w:t>
      </w:r>
    </w:p>
    <w:p>
      <w:r>
        <w:t xml:space="preserve">[17] S. Messick. 1995. Validity of psychological assessment. American Psychologist, 50(9):741-749.</w:t>
      </w:r>
    </w:p>
    <w:p>
      <w:r>
        <w:t xml:space="preserve">[18] K. Krippendorff. 2018. Content Analysis: An Introduction to Its Methodology, 4th ed. SAGE.</w:t>
      </w:r>
    </w:p>
    <w:p>
      <w:r>
        <w:t xml:space="preserve">[19] J. Cohen. 1960. A coefficient of agreement for nominal scales. Educational and Psychological Measurement, 20(1):37-46.</w:t>
      </w:r>
    </w:p>
    <w:p>
      <w:r>
        <w:t xml:space="preserve">[20] B. Ellis et al. 2023. SMACv2: An Improved Benchmark for Cooperative Multi-Agent Reinforcement Learning. arXiv.</w:t>
      </w:r>
    </w:p>
    <w:p>
      <w:r>
        <w:t xml:space="preserve">[21] C. Baillie et al. 2020. CybORG: An Autonomous Cyber Operations Research Gym. arXiv:2002.10667.</w:t>
      </w:r>
    </w:p>
    <w:p>
      <w:r>
        <w:t xml:space="preserve">[22] J. K. Terry et al. 2021. PettingZoo: Gym for Multi-Agent Reinforcement Learning. NeurIPS.</w:t>
      </w:r>
    </w:p>
    <w:p>
      <w:r>
        <w:t xml:space="preserve">[23] J. Z. Leibo et al. 2021. Scalable Evaluation of Multi-Agent Reinforcement Learning with Melting Pot. ICML.</w:t>
      </w:r>
    </w:p>
    <w:p>
      <w:r>
        <w:t xml:space="preserve">[24] DeepSeek-AI. 2024. DeepSeek-V3 Technical Report. arXiv:2412.19437.</w:t>
      </w:r>
    </w:p>
    <w:p>
      <w:r>
        <w:t xml:space="preserve">[25] K. Hyland. 2005. Metadiscourse: Exploring Interaction in Writing. Continuum.</w:t>
      </w:r>
    </w:p>
    <w:p>
      <w:r>
        <w:t xml:space="preserve">[26] S. Desai and G. Durrett. 2020. Calibration of Pre-trained Transformers. EMNLP.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