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V3.6 (case/figure integrity checked)</w:t>
      </w:r>
    </w:p>
    <w:p>
      <w:r>
        <w:rPr>
          <w:b/>
        </w:rPr>
        <w:t xml:space="preserve">Date:</w:t>
      </w:r>
      <w:r>
        <w:t xml:space="preserve"> 2026-07-04</w:t>
      </w:r>
    </w:p>
    <w:p>
      <w:r>
        <w:rPr>
          <w:b/>
        </w:rPr>
        <w:t xml:space="preserve">Changes from V3.5:</w:t>
      </w:r>
      <w:r>
        <w:t xml:space="preserve"> Case/figure integrity pass — replaced V3.5 T2 mild case (TCB_008, number inflation that a reviewer would judge as contradiction) with clean scope-expansion case (SBV2-ALL92-G170-C02, numbers match exactly, only scope adjective added); replaced V3.5 B4 placeholder ("representative" with no real candidate_id) with real HRC_001 (SBV2-ALL92-G003-STRONG, claim_too_abstract root_cause); replaced all `![Figure](figure_x.md)` markdown image links with inline ASCII renderings that work in docx and plain-text reviewers; rebuilt Table 2 (taxonomy examples) with 8 clean cases all traceable to strict_silver_max_candidates_v1.csv; rebuilt Appendix case studies with 8 real cases (4 trusted + 4 boundary, all with traceable candidate_ids). No new experiments, no API calls, no new data, no change to conclusions, no change to numeric results.</w:t>
      </w:r>
    </w:p>
    <w:p>
      <w:r>
        <w:t xml:space="preserve">Author information to be added before submission</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Results are exploratory: labels are silver, not gold; the LLM comparison is prompt/model/sample-specific.</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established by FEVER [1], SNLI [2], and SciFact [3]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We test this hypothesis empirically. Under the tested prompts, generic LLM judges are strong on overall support/refutation and contradiction (GPT-5.5 macro-F1 = 0.5523, DeepSeek-V3 macro-F1 = 0.5270 on matched samples), but they </w:t>
      </w:r>
      <w:r>
        <w:rPr>
          <w:b/>
        </w:rPr>
        <w:t xml:space="preserve">consistently under-detect strong_action_overclaim on the tested samples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cautious contributions:</w:t>
      </w:r>
    </w:p>
    <w:p>
      <w:r>
        <w:t xml:space="preserve">(i) It frames scientific claim calibration as </w:t>
      </w:r>
      <w:r>
        <w:rPr>
          <w:b/>
        </w:rPr>
        <w:t xml:space="preserve">evidence sufficiency calibration</w:t>
      </w:r>
      <w:r>
        <w:t xml:space="preserve">, a four-class relation task distinguishing strong_action_overclaim from generic support/refutation/NEI, with concrete taxonomy examples (Table 2) and an operational decision tree (Figure 2).</w:t>
      </w:r>
    </w:p>
    <w:p>
      <w:r>
        <w:t xml:space="preserve">(ii) It constructs a </w:t>
      </w:r>
      <w:r>
        <w:rPr>
          <w:b/>
        </w:rPr>
        <w:t xml:space="preserve">silver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It introduces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It reports a </w:t>
      </w:r>
      <w:r>
        <w:rPr>
          <w:b/>
        </w:rPr>
        <w:t xml:space="preserve">matched-sample LLM judge comparison</w:t>
      </w:r>
      <w:r>
        <w:t xml:space="preserve"> (DeepSeek-V3, GPT-5.5 standard, GPT-5.5 structured) showing that under the tested prompts, this structured decomposition design does not improve strong_action detection, while R4 provides complementary value on this relation — bounded by silver-label and single-run limitations.</w:t>
      </w:r>
    </w:p>
    <w:p>
      <w:r>
        <w:t xml:space="preserve">The remainder of the paper is organized as follows: §II positions the work; §III formulates the task and provides taxonomy examples and the decision tree (Figure 2); §IV describes the CESE-OCN R4 framework (Figure 1); §V describes the data and protocol; §VI reports results (Figure 3, Tables 1-3); §VII discusses implications; §VIII states limitations; §IX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current results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(baseline strong-F1 0.2408), and why a relation-specific router (R4, strong-F1 0.3967) is needed.</w:t>
      </w:r>
    </w:p>
    <w:p>
      <w:r>
        <w:t xml:space="preserve">The revised manuscript is a </w:t>
      </w:r>
      <w:r>
        <w:rPr>
          <w:b/>
        </w:rPr>
        <w:t xml:space="preserve">pilot validation</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gold standard. Cases where the tree yields ambiguous results are flagged as boundary cases for future gold adjudication (§V.D, `high_risk_sample_bank.csv`). Table 2 (§VI) provides 8 illustrative examples (2 per class) from the SimClaim silver set, all traceable to `strict_silver_max_candidates_v1.csv`; full versions are in `table_taxonomy_examples_v3_6_clean.csv`. The V3.6 Table 2 replaced V3.5 T2 (TCB_008, number inflation that a reviewer would judge as contradiction) with a clean scope-expansion case (SBV2-ALL92-G170-C02, numbers match exactly, only scope adjective added) — see `case_integrity_audit.csv` for the full audit.</w:t>
      </w:r>
    </w:p>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pilot results support this: contradiction is comparatively well captured by NLI-style evidence signals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(§VIII).</w:t>
      </w:r>
    </w:p>
    <w:p>
      <w:pPr>
        <w:pStyle w:val="Heading3"/>
      </w:pPr>
      <w:r>
        <w:t xml:space="preserve">C. External Public Dataset Sanity Check</w:t>
      </w:r>
    </w:p>
    <w:p>
      <w:r>
        <w:t xml:space="preserve">To test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This is a </w:t>
      </w:r>
      <w:r>
        <w:rPr>
          <w:b/>
        </w:rPr>
        <w:t xml:space="preserve">sanity check</w:t>
      </w:r>
      <w:r>
        <w:t xml:space="preserve"> for generic support/refutation transfer; it cannot replace SimClaim gold evaluation.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(§VI.C) is computed against these silver labels, and the high questionable/unclear rate means the finding must be interpreted as </w:t>
      </w:r>
      <w:r>
        <w:rPr>
          <w:b/>
        </w:rPr>
        <w:t xml:space="preserve">diagnostic evidence against silver labels,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exploratory pilot validation</w:t>
      </w:r>
      <w:r>
        <w:t xml:space="preserve">. A higher-tier confirmatory submission would require 300–500 independently adjudicated claim-evidence pairs, inter-annotator agreement statistics, significance tests against stronger external baselines, and external validation.</w:t>
      </w:r>
    </w:p>
    <w:p>
      <w:pPr>
        <w:pStyle w:val="Heading2"/>
      </w:pPr>
      <w:r>
        <w:t xml:space="preserve">VI. Results</w:t>
      </w:r>
    </w:p>
    <w:p>
      <w:pPr>
        <w:pStyle w:val="Heading3"/>
      </w:pPr>
      <w:r>
        <w:t xml:space="preserve">A. Internal Silver Diagnostic Results (Table 1)</w:t>
      </w:r>
    </w:p>
    <w:p>
      <w:r>
        <w:t xml:space="preserve">The strongest supported result is that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LLMs are stronger overall, but R4 targets the strong_action gap.</w:t>
      </w:r>
    </w:p>
    <w:p>
      <w:r>
        <w:rPr>
          <w:b/>
        </w:rPr>
        <w:t xml:space="preserve">Key findings:</w:t>
      </w:r>
    </w:p>
    <w:p>
      <w:pPr>
        <w:pStyle w:val="ListNumber"/>
      </w:pPr>
      <w:r>
        <w:rPr>
          <w:b/>
        </w:rPr>
        <w:t xml:space="preserve">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(precision 1.0, recall 0.04 = 1/25), while reaching macro-F1 0.5270 and contradiction-F1 0.8317 — strong overall, missing strong_action.</w:t>
      </w:r>
    </w:p>
    <w:p>
      <w:pPr>
        <w:pStyle w:val="ListNumber"/>
      </w:pPr>
      <w:r>
        <w:rPr>
          <w:b/>
        </w:rPr>
        <w:t xml:space="preserve">R4 provides targeted complementary value.</w:t>
      </w:r>
      <w:r>
        <w:t xml:space="preserve"> On the same 100 samples where GPT and DeepSeek achieve strong_F1 0.0769, R4 achieves strong_F1 0.3000 (absolute gap +0.2231). On the 200-sample set, R4 achieves strong_F1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outperforming LLM judges overall.</w:t>
      </w:r>
      <w:r>
        <w:t xml:space="preserve">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blind spot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Public Dataset Sanity Check</w:t>
      </w:r>
    </w:p>
    <w:p>
      <w:r>
        <w:t xml:space="preserve">We run a small gold-derived subset evaluation on SciFact and VitaminC. </w:t>
      </w:r>
      <w:r>
        <w:rPr>
          <w:b/>
        </w:rPr>
        <w:t xml:space="preserve">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external check validates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external check does and does not show:</w:t>
      </w:r>
    </w:p>
    <w:p>
      <w:pPr>
        <w:pStyle w:val="ListBullet"/>
      </w:pPr>
      <w:r>
        <w:t xml:space="preserve">✅ R4-compatible methods run on public data without crash (contradiction + scope components transfer).</w:t>
      </w:r>
    </w:p>
    <w:p>
      <w:pPr>
        <w:pStyle w:val="ListBullet"/>
      </w:pPr>
      <w:r>
        <w:t xml:space="preserve">✅ NLI cross-encoder is a strong generic support/refutation baseline on public data.</w:t>
      </w:r>
    </w:p>
    <w:p>
      <w:pPr>
        <w:pStyle w:val="ListBullet"/>
      </w:pPr>
      <w:r>
        <w:t xml:space="preserve">❌ Public datasets </w:t>
      </w:r>
      <w:r>
        <w:rPr>
          <w:b/>
        </w:rPr>
        <w:t xml:space="preserve">cannot</w:t>
      </w:r>
      <w:r>
        <w:t xml:space="preserve"> test the four-class evidence-sufficiency taxonomy (no action-overclaim labels).</w:t>
      </w:r>
    </w:p>
    <w:p>
      <w:pPr>
        <w:pStyle w:val="ListBullet"/>
      </w:pPr>
      <w:r>
        <w:t xml:space="preserve">❌ Public datasets </w:t>
      </w:r>
      <w:r>
        <w:rPr>
          <w:b/>
        </w:rPr>
        <w:t xml:space="preserve">cannot</w:t>
      </w:r>
      <w:r>
        <w:t xml:space="preserve"> replace SimClaim gold evaluation.</w:t>
      </w:r>
    </w:p>
    <w:p>
      <w:pPr>
        <w:pStyle w:val="ListBullet"/>
      </w:pPr>
      <w:r>
        <w:t xml:space="preserve">❌ Public results are </w:t>
      </w:r>
      <w:r>
        <w:rPr>
          <w:b/>
        </w:rPr>
        <w:t xml:space="preserve">sanity checks</w:t>
      </w:r>
      <w:r>
        <w:t xml:space="preserve">, not benchmark superiority claims.</w:t>
      </w:r>
    </w:p>
    <w:p>
      <w:pPr>
        <w:pStyle w:val="Heading2"/>
      </w:pPr>
      <w:r>
        <w:t xml:space="preserve">VII.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fails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 Whether the macro-F1 gap is an acceptable trade-off depends on the downstream use case — for action-overclaim monitoring where missing a strong_action case is costly, the trade-off may be favorable; for generic claim verification, an LLM judge alone is preferable.</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consistent across the two tested models. Both GPT-5.5 and DeepSeek-V3 converge on strong_F1 = 0.0769 (recall = 0.04 = 1/25), and this structured 5-step decomposition prompt design does not change this. This suggests a consistent under-detection pattern under the tested prompts, not a single-model quirk. We do not claim this is a fundamental limit of LLMs — it is prompt/model/sample specific and computed against silver labels (which the author sanity audit flags as 62.5% questionable/unclear) — but under the tested prompts, the pattern is consistent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Independent gold validation is required before this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diagnostic pattern (R4 &gt; LLM on strong_action) may hold even if individual labels shift under gold adjudication — but this is not guaranteed; (2) the paper's claims are limited to aggregate diagnostic patterns,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VIII.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exploratory on the silver set. We do not claim gold/human-audited performance, human kappa, or Q1 readiness from silver data alone. The LLM under-detection finding (§VI.B) is computed against these silver labels and must be interpreted as diagnostic evidence, pending independent gold adjudication.</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Future gold annotation should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consistent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(R4 strong-F1 = 0.3967, LLM strong-F1 = 0.0769) should be read as diagnostic evidence on a hard boundary, not as stable benchmark numbers. Future gold annotation should use two annotators with adjudication specifically on mild-vs-strong cases, and report inter-annotator agreement separately for this boundary.</w:t>
      </w:r>
    </w:p>
    <w:p>
      <w:pPr>
        <w:pStyle w:val="ListNumber"/>
      </w:pPr>
      <w:r>
        <w:rPr>
          <w:b/>
        </w:rPr>
        <w:t xml:space="preserve">External datasets do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diagnostic complement to LLM judges rather than a competitive replacement.</w:t>
      </w:r>
    </w:p>
    <w:p>
      <w:pPr>
        <w:pStyle w:val="Heading2"/>
      </w:pPr>
      <w:r>
        <w:t xml:space="preserve">IX.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consistently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LLM judges retain substantially higher overall macro-F1 (GPT-5.5: 0.5523 vs. R4: 0.3280 on matched 100) and contradiction-F1; R4 targets the specific relation they miss under the tested prompts, at the cost of lower macro-F1. External sanity checks on SciFact and VitaminC show R4-compatible methods run on public data but underperform NLI cross-encoders on generic support/refutation; public data cannot test the four-class evidence-sufficiency taxonomy.</w:t>
      </w:r>
    </w:p>
    <w:p>
      <w:r>
        <w:t xml:space="preserve">The result is promising but exploratory. The author sanity audit flags 62.5% of silver labels as questionable or unclear, confirming that independent gold adjudication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"R4 improves strong-action positive-F1 from 0.2408 to 0.3967 while preserving contradiction and escalation performance, on the current silver diagnostic set."</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consistently under-detect strong_action_overclaim on the tested samples, suggesting a consistent under-detection pattern under the tested setting."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is required."</w:t>
      </w:r>
    </w:p>
    <w:p>
      <w:pPr>
        <w:pStyle w:val="ListBullet"/>
      </w:pPr>
      <w:r>
        <w:t xml:space="preserve">"The mixed framework is positioned as an action-overclaim diagnostic, not a final calibrated benchmark."</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"consistent under-detection pattern under the tested prompts" instead).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"consistent under-detection pattern" (NOT "systematic blind spot")</w:t>
      </w:r>
    </w:p>
    <w:p>
      <w:pPr>
        <w:pStyle w:val="ListBullet"/>
      </w:pPr>
      <w:r>
        <w:t xml:space="preserve">"on silver-label pilot data" / "AI-preannotated, author-screened labels"</w:t>
      </w:r>
    </w:p>
    <w:p>
      <w:pPr>
        <w:pStyle w:val="ListBullet"/>
      </w:pPr>
      <w:r>
        <w:t xml:space="preserve">"exploratory pilot validation" / "not fully adjudicated gold"</w:t>
      </w:r>
    </w:p>
    <w:p>
      <w:pPr>
        <w:pStyle w:val="ListBullet"/>
      </w:pPr>
      <w:r>
        <w:t xml:space="preserve">"suggests" / "supports"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"diagnostic, not benchmark"</w:t>
      </w:r>
    </w:p>
    <w:p>
      <w:pPr>
        <w:pStyle w:val="ListBullet"/>
      </w:pPr>
      <w:r>
        <w:t xml:space="preserve">"pending independent gold validation"</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