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V3.8 (reference refreshed)</w:t>
      </w:r>
    </w:p>
    <w:p>
      <w:r>
        <w:rPr>
          <w:b/>
        </w:rPr>
        <w:t xml:space="preserve">Date:</w:t>
      </w:r>
      <w:r>
        <w:t xml:space="preserve"> 2026-07-04</w:t>
      </w:r>
    </w:p>
    <w:p>
      <w:r>
        <w:rPr>
          <w:b/>
        </w:rPr>
        <w:t xml:space="preserve">Changes from V3.7:</w:t>
      </w:r>
      <w:r>
        <w:t xml:space="preserve"> Reference refresh pass — added recent 2025–2026 work on scientific claim verification, claim-evidence reasoning, scientific overstatement / evidence-licensed claims, and LLM-as-judge reliability. Citation positions are marked in the Introduction, Related Work, Discussion, and Limitations. No new experiments, no API calls, no new data, no change to numeric results, no change to conclusions.</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Results are exploratory: labels are silver, not gold; the LLM comparison is prompt/model/sample-specific.</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established by FEVER [1], SNLI [2], and SciFact [3], and extended by recent scientific claim verification / claim-evidence reasoning benchmarks such as SciClaimHunt and CLAIM-BENCH [27], [28]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0) and an operational decision tree (Figure 2).</w:t>
      </w:r>
    </w:p>
    <w:p>
      <w:r>
        <w:t xml:space="preserve">(ii) It constructs a </w:t>
      </w:r>
      <w:r>
        <w:rPr>
          <w:b/>
        </w:rPr>
        <w:t xml:space="preserve">silver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(Table 0) and the decision tree (Figure 2); §IV describes the CESE-OCN R4 framework (Figure 1); §V describes the data and protocol; §VI reports results (Figure 3, Tables 1-3); §VII discusses implications; §VIII states limitations; §IX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current results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w:t>
      </w:r>
    </w:p>
    <w:p>
      <w:r>
        <w:t xml:space="preserve">The revised manuscript is a </w:t>
      </w:r>
      <w:r>
        <w:rPr>
          <w:b/>
        </w:rPr>
        <w:t xml:space="preserve">pilot validation</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gold standard. Cases where the tree yields ambiguous results are flagged as boundary cases for future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results support this: contradiction is comparatively well captured by NLI-style evidence signals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(§VIII).</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This is a </w:t>
      </w:r>
      <w:r>
        <w:rPr>
          <w:b/>
        </w:rPr>
        <w:t xml:space="preserve">sanity check</w:t>
      </w:r>
      <w:r>
        <w:t xml:space="preserve"> for generic support/refutation transfer; it cannot replace SimClaim gold evaluation.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(§VI.C) is computed against these silver labels, and the high questionable/unclear rate means the finding must be interpreted as </w:t>
      </w:r>
      <w:r>
        <w:rPr>
          <w:b/>
        </w:rPr>
        <w:t xml:space="preserve">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exploratory pilot validation</w:t>
      </w:r>
      <w:r>
        <w:t xml:space="preserve">. A higher-tier confirmatory submission would require 300–500 independently adjudicated claim-evidence pairs, inter-annotator agreement statistics, significance tests against stronger external baselines, and external validation.</w:t>
      </w:r>
    </w:p>
    <w:p>
      <w:pPr>
        <w:pStyle w:val="Heading2"/>
      </w:pPr>
      <w:r>
        <w:t xml:space="preserve">VI. Results</w:t>
      </w:r>
    </w:p>
    <w:p>
      <w:pPr>
        <w:pStyle w:val="Heading3"/>
      </w:pPr>
      <w:r>
        <w:t xml:space="preserve">A. Internal Silver Diagnostic Results (Table 1)</w:t>
      </w:r>
    </w:p>
    <w:p>
      <w:r>
        <w:t xml:space="preserve">The strongest supported result is that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LLMs are stronger overall, but R4 targets the strong_action gap.</w:t>
      </w:r>
    </w:p>
    <w:p>
      <w:r>
        <w:rPr>
          <w:b/>
        </w:rPr>
        <w:t xml:space="preserve">Key findings:</w:t>
      </w:r>
    </w:p>
    <w:p>
      <w:pPr>
        <w:pStyle w:val="ListNumber"/>
      </w:pPr>
      <w:r>
        <w:rPr>
          <w:b/>
        </w:rPr>
        <w:t xml:space="preserve">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(precision 1.0, recall 0.04 = 1/25), while reaching macro-F1 0.5270 and contradiction-F1 0.8317 — strong overall, missing strong_action.</w:t>
      </w:r>
    </w:p>
    <w:p>
      <w:pPr>
        <w:pStyle w:val="ListNumber"/>
      </w:pPr>
      <w:r>
        <w:rPr>
          <w:b/>
        </w:rPr>
        <w:t xml:space="preserve">R4 provides targeted complementary value.</w:t>
      </w:r>
      <w:r>
        <w:t xml:space="preserve"> On the same 100 samples where GPT and DeepSeek achieve strong_F1 0.0769, R4 achieves strong_F1 0.3000 (absolute gap +0.2231). On the 200-sample set, R4 achieves strong_F1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blind spot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Public Dataset Sanity Check</w:t>
      </w:r>
    </w:p>
    <w:p>
      <w:r>
        <w:t xml:space="preserve">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external check does and does not show:</w:t>
      </w:r>
    </w:p>
    <w:p>
      <w:pPr>
        <w:pStyle w:val="ListBullet"/>
      </w:pPr>
      <w:r>
        <w:t xml:space="preserve">✅ R4-compatible methods run on public data without crash (contradiction + scope components transfer).</w:t>
      </w:r>
    </w:p>
    <w:p>
      <w:pPr>
        <w:pStyle w:val="ListBullet"/>
      </w:pPr>
      <w:r>
        <w:t xml:space="preserve">✅ NLI cross-encoder is a strong generic support/refutation baseline on public data.</w:t>
      </w:r>
    </w:p>
    <w:p>
      <w:pPr>
        <w:pStyle w:val="ListBullet"/>
      </w:pPr>
      <w:r>
        <w:t xml:space="preserve">❌ Public datasets </w:t>
      </w:r>
      <w:r>
        <w:rPr>
          <w:b/>
        </w:rPr>
        <w:t xml:space="preserve">cannot</w:t>
      </w:r>
      <w:r>
        <w:t xml:space="preserve"> test the four-class evidence-sufficiency taxonomy (no action-overclaim labels).</w:t>
      </w:r>
    </w:p>
    <w:p>
      <w:pPr>
        <w:pStyle w:val="ListBullet"/>
      </w:pPr>
      <w:r>
        <w:t xml:space="preserve">❌ Public datasets </w:t>
      </w:r>
      <w:r>
        <w:rPr>
          <w:b/>
        </w:rPr>
        <w:t xml:space="preserve">cannot</w:t>
      </w:r>
      <w:r>
        <w:t xml:space="preserve"> replace SimClaim gold evaluation.</w:t>
      </w:r>
    </w:p>
    <w:p>
      <w:pPr>
        <w:pStyle w:val="ListBullet"/>
      </w:pPr>
      <w:r>
        <w:t xml:space="preserve">❌ Public results are </w:t>
      </w:r>
      <w:r>
        <w:rPr>
          <w:b/>
        </w:rPr>
        <w:t xml:space="preserve">sanity checks</w:t>
      </w:r>
      <w:r>
        <w:t xml:space="preserve">, not benchmark superiority claims.</w:t>
      </w:r>
    </w:p>
    <w:p>
      <w:pPr>
        <w:pStyle w:val="Heading2"/>
      </w:pPr>
      <w:r>
        <w:t xml:space="preserve">VII.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Independent gold validation is required before this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diagnostic pattern (R4 &gt; LLM on strong_action) may hold even if individual labels shift under gold adjudication — but this is not guaranteed; (2) the paper's claims are limited to aggregate diagnostic patterns,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VIII.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exploratory on the silver set. We do not claim gold/human-audited performance, human kappa, or Q1 readiness from silver data alone. The LLM under-detection finding (§VI.B) is computed against these silver labels and must be interpreted as diagnostic evidence, pending independent gold adjudication.</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Future gold annotation should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(R4 strong-F1 = 0.3967, LLM strong-F1 = 0.0769) should be read as diagnostic evidence on a hard boundary, not as stable benchmark numbers. Future gold annotation should use two annotators with adjudication specifically on mild-vs-strong cases, and report inter-annotator agreement separately for this boundary.</w:t>
      </w:r>
    </w:p>
    <w:p>
      <w:pPr>
        <w:pStyle w:val="ListNumber"/>
      </w:pPr>
      <w:r>
        <w:rPr>
          <w:b/>
        </w:rPr>
        <w:t xml:space="preserve">External datasets do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diagnostic complement to LLM judges rather than a competitive replacement.</w:t>
      </w:r>
    </w:p>
    <w:p>
      <w:pPr>
        <w:pStyle w:val="Heading2"/>
      </w:pPr>
      <w:r>
        <w:t xml:space="preserve">IX.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exploratory. The author sanity audit flags 62.5% of silver labels as questionable or unclear, confirming that independent gold adjudication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"R4 improves strong-action positive-F1 from 0.2408 to 0.3967 while preserving contradiction and escalation performance, on the current silver diagnostic set."</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suggesting a consistent under-detection pattern under the tested setting."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is required."</w:t>
      </w:r>
    </w:p>
    <w:p>
      <w:pPr>
        <w:pStyle w:val="ListBullet"/>
      </w:pPr>
      <w:r>
        <w:t xml:space="preserve">"The mixed framework is positioned as an action-overclaim diagnostic, not a final calibrated benchmark."</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"consistent under-detection pattern under the tested prompts" instead).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(NOT "systematic blind spot")</w:t>
      </w:r>
    </w:p>
    <w:p>
      <w:pPr>
        <w:pStyle w:val="ListBullet"/>
      </w:pPr>
      <w:r>
        <w:t xml:space="preserve">"on silver-label pilot data" / "AI-preannotated, author-screened labels"</w:t>
      </w:r>
    </w:p>
    <w:p>
      <w:pPr>
        <w:pStyle w:val="ListBullet"/>
      </w:pPr>
      <w:r>
        <w:t xml:space="preserve">"exploratory pilot validation" / "not fully adjudicated gold"</w:t>
      </w:r>
    </w:p>
    <w:p>
      <w:pPr>
        <w:pStyle w:val="ListBullet"/>
      </w:pPr>
      <w:r>
        <w:t xml:space="preserve">"suggests" / "supports"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"diagnostic, not benchmark"</w:t>
      </w:r>
    </w:p>
    <w:p>
      <w:pPr>
        <w:pStyle w:val="ListBullet"/>
      </w:pPr>
      <w:r>
        <w:t xml:space="preserve">"pending independent gold validation"</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p>
      <w:r>
        <w:t xml:space="preserve">[27] S. Kumar, A. Sharma, S. H. Khincha, G. Shroff, S. R. Singh, and R. Mishra. 2025. SciClaimHunt: A Large Dataset for Evidence-based Scientific Claim Verification. arXiv:2502.10003.</w:t>
      </w:r>
    </w:p>
    <w:p>
      <w:r>
        <w:t xml:space="preserve">[28] S. R. Javaji, Y. Cao, H. Li, Y. Yu, N. Muralidhar, and Z. Zhu. 2025. Can AI Validate Science? Benchmarking LLMs on Claim-Evidence Reasoning in AI Papers. IJCNLP-AACL.</w:t>
      </w:r>
    </w:p>
    <w:p>
      <w:r>
        <w:t xml:space="preserve">[29] S. Sadeghi, K. Khajavi, R. Adhikari, and A. Tessier. 2026. DeepSciVerify: Verifying Scientific Claim-Citation Alignment via LLM-Driven Evidence Escalation. arXiv:2605.27710.</w:t>
      </w:r>
    </w:p>
    <w:p>
      <w:r>
        <w:t xml:space="preserve">[30] J. James, C. Xiao, Y. Li, N. S. Moosavi, and C. Lin. 2026. RIGOURATE: Quantifying Scientific Exaggeration with Evidence-Aligned Claim Evaluation. arXiv:2601.04350.</w:t>
      </w:r>
    </w:p>
    <w:p>
      <w:r>
        <w:t xml:space="preserve">[31] H. Li. 2026. The Calibration Turn in AI-Assisted Research: A Conceptual and Methodological Framework for Evidence-Licensed Claims. arXiv:2606.31273.</w:t>
      </w:r>
    </w:p>
    <w:p>
      <w:r>
        <w:t xml:space="preserve">[32] J. Gu et al. 2024. A Survey on LLM-as-a-Judge. arXiv:2411.15594.</w:t>
      </w:r>
    </w:p>
    <w:p>
      <w:r>
        <w:t xml:space="preserve">[33] A. Bavaresco et al. 2025. LLMs instead of Human Judges? A Large Scale Empirical Study across 20 NLP Evaluation Tasks. ACL.</w:t>
      </w:r>
    </w:p>
    <w:p>
      <w:r>
        <w:t xml:space="preserve">[34] M. Krumdick, C. Lovering, V. Reddy, S. Ebner, and C. Tanner. 2025. No Free Labels: Limitations of LLM-as-a-Judge Without Human Grounding. arXiv:2503.05061.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