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V3.9 Pre-Gold Complete Manuscript</w:t>
      </w:r>
    </w:p>
    <w:p>
      <w:r>
        <w:rPr>
          <w:b/>
        </w:rPr>
        <w:t xml:space="preserve">Status:</w:t>
      </w:r>
      <w:r>
        <w:t xml:space="preserve"> complete draft except planned gold validation results</w:t>
      </w:r>
    </w:p>
    <w:p>
      <w:r>
        <w:rPr>
          <w:b/>
        </w:rPr>
        <w:t xml:space="preserve">Not submission-ready until gold validation is completed.</w:t>
      </w:r>
    </w:p>
    <w:p>
      <w:r>
        <w:rPr>
          <w:b/>
        </w:rPr>
        <w:t xml:space="preserve">Date:</w:t>
      </w:r>
      <w:r>
        <w:t xml:space="preserve"> 2026-07-04</w:t>
      </w:r>
    </w:p>
    <w:p>
      <w:r>
        <w:rPr>
          <w:b/>
        </w:rPr>
        <w:t xml:space="preserve">Changes from V3.8:</w:t>
      </w:r>
      <w:r>
        <w:t xml:space="preserve"> Structure-only pass to convert V3.8 (reference refreshed) into a pre-gold complete manuscript. A new Section VII "Planned Gold Validation" is added with three placeholder tables (G1, G2, G3) whose entries are marked `TO_BE_FILLED_AFTER_GOLD` — no numeric values are invented. A separate `gold_validation_protocol_section.md` freezes the pre-registered success and downgrade criteria. Wording throughout is tightened so that current conclusions are described as </w:t>
      </w:r>
      <w:r>
        <w:rPr>
          <w:b/>
        </w:rPr>
        <w:t xml:space="preserve">silver-stage evidence</w:t>
      </w:r>
      <w:r>
        <w:t xml:space="preserve">, </w:t>
      </w:r>
      <w:r>
        <w:rPr>
          <w:b/>
        </w:rPr>
        <w:t xml:space="preserve">pre-gold findings</w:t>
      </w:r>
      <w:r>
        <w:t xml:space="preserve">, and </w:t>
      </w:r>
      <w:r>
        <w:rPr>
          <w:b/>
        </w:rPr>
        <w:t xml:space="preserve">pilot diagnostic results</w:t>
      </w:r>
      <w:r>
        <w:t xml:space="preserve"> — not as final proof, gold benchmark, established LLM blind spot, or validated taxonomy. The closing claim is revised to: </w:t>
      </w:r>
      <w:r>
        <w:rPr>
          <w:i/>
        </w:rPr>
        <w:t xml:space="preserve">The current silver-stage evidence motivates gold validation rather than replacing it.</w:t>
      </w:r>
      <w:r>
        <w:t xml:space="preserve"> No new experiments, no API calls, no model runs, no gold annotation, no modification of original data, no deletion of V3.8. Numeric results from V3.8 are preserved unchanged because they are explicitly labeled as silver-stage.</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a more frequent failure mode is that evidence is topically relevant but does not justify the </w:t>
      </w:r>
      <w:r>
        <w:rPr>
          <w:i/>
        </w:rPr>
        <w:t xml:space="preserve">strength</w:t>
      </w:r>
      <w:r>
        <w:t xml:space="preserve"> of the claim — particularly when a claim asserts deployment readiness, actionability, safety, or operational conclusions on the basis of limited experimental evidence. We call this task </w:t>
      </w:r>
      <w:r>
        <w:rPr>
          <w:b/>
        </w:rPr>
        <w:t xml:space="preserve">evidence sufficiency calibration</w:t>
      </w:r>
      <w:r>
        <w:t xml:space="preserve">, formulated as a four-class relation problem: supported, mild_scope_overclaim, strong_action_overclaim, and contradiction_candidate. We present CESE-OCN R4, a mixed relation-routing framework that complements generic LLM/NLI judges via a contradiction detector, a scope-calibration residual classifier, and a conservative strong-action escalation route. On a silver-label pilot of 444 pairs across six domains, R4 improves strong_action positive-F1 from 0.2408 to 0.3967 while preserving contradiction performance. On 200 matched samples, DeepSeek-V3 reaches macro-F1 0.5270 but strong_action-F1 only 0.0769 (recall 0.04). On 100 matched samples, GPT-5.5 standard and structured prompts both yield strong_action-F1 0.0769, while R4 reaches 0.3000 — but with substantially lower overall macro-F1 (0.3280 vs. 0.5523). R4 is positioned as a relation-specific complement, not a replacement. </w:t>
      </w:r>
      <w:r>
        <w:rPr>
          <w:b/>
        </w:rPr>
        <w:t xml:space="preserve">All results are pre-gold findings on silver labels; the LLM comparison is prompt/model/sample-specific.</w:t>
      </w:r>
      <w:r>
        <w:t xml:space="preserve"> A planned gold validation is specified in §VII but not yet populated; final submission claims will be revised after gold results are available.</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w:t>
      </w:r>
      <w:r>
        <w:t xml:space="preserve"> for scientific claim calibration, where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most consequential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(GPT-5.5 macro-F1 = 0.5523, DeepSeek-V3 macro-F1 = 0.5270 on matched samples), but they </w:t>
      </w:r>
      <w:r>
        <w:rPr>
          <w:b/>
        </w:rPr>
        <w:t xml:space="preserve">consistently under-detect strong_action_overclaim on the tested samples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single tested prompt setting (Figure 3). </w:t>
      </w:r>
      <w:r>
        <w:rPr>
          <w:b/>
        </w:rPr>
        <w:t xml:space="preserve">This is a pre-gold finding computed against silver labels; it cannot be treated as an established LLM blind spot until independent gold adjudication is completed (§VII).</w:t>
      </w:r>
    </w:p>
    <w:p>
      <w:r>
        <w:t xml:space="preserve">We therefore position CESE-OCN R4 as a </w:t>
      </w:r>
      <w:r>
        <w:rPr>
          <w:b/>
        </w:rPr>
        <w:t xml:space="preserve">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(absolute gap +0.2231). </w:t>
      </w:r>
      <w:r>
        <w:rPr>
          <w:b/>
        </w:rPr>
        <w:t xml:space="preserve">R4 is not the strongest model on overall macro-F1 — LLM judges retain that, with GPT-5.5 at 0.5523 vs. R4 at 0.3280 on the matched 100 — but it provides targeted value on the relation that LLM judges miss under the tested prompts.</w:t>
      </w:r>
      <w:r>
        <w:t xml:space="preserve"> This positioning as a relation-specific complement, rather than a competitive replacement, is central to the paper's contribution.</w:t>
      </w:r>
    </w:p>
    <w:p>
      <w:r>
        <w:t xml:space="preserve">This manuscript makes four cautious contributions:</w:t>
      </w:r>
    </w:p>
    <w:p>
      <w:r>
        <w:t xml:space="preserve">(i) It frames scientific claim calibration as </w:t>
      </w:r>
      <w:r>
        <w:rPr>
          <w:b/>
        </w:rPr>
        <w:t xml:space="preserve">evidence sufficiency calibration</w:t>
      </w:r>
      <w:r>
        <w:t xml:space="preserve">, a four-class relation task distinguishing strong_action_overclaim from generic support/refutation/NEI, with concrete taxonomy examples (Table 0) and an operational decision tree (Figure 2).</w:t>
      </w:r>
    </w:p>
    <w:p>
      <w:r>
        <w:t xml:space="preserve">(ii) It constructs a </w:t>
      </w:r>
      <w:r>
        <w:rPr>
          <w:b/>
        </w:rPr>
        <w:t xml:space="preserve">silver diagnostic set</w:t>
      </w:r>
      <w:r>
        <w:t xml:space="preserve"> of 444 claim-evidence pairs across 111 evidence groups and six domains, with AI-preannotated and author-screened labels, and an author sanity audit of 40 silver labels that explicitly flags 25/40 as questionable or unclear.</w:t>
      </w:r>
    </w:p>
    <w:p>
      <w:r>
        <w:t xml:space="preserve">(iii) It introduces </w:t>
      </w:r>
      <w:r>
        <w:rPr>
          <w:b/>
        </w:rPr>
        <w:t xml:space="preserve">CESE-OCN R4</w:t>
      </w:r>
      <w:r>
        <w:t xml:space="preserve">, a conservative strong-action router as a mixed relation-routing framework that complements black-box LLM judges, with explicit acknowledgment that R4 sacrifices overall macro-F1 for targeted strong_action recall.</w:t>
      </w:r>
    </w:p>
    <w:p>
      <w:r>
        <w:t xml:space="preserve">(iv) It reports a </w:t>
      </w:r>
      <w:r>
        <w:rPr>
          <w:b/>
        </w:rPr>
        <w:t xml:space="preserve">matched-sample LLM judge comparison</w:t>
      </w:r>
      <w:r>
        <w:t xml:space="preserve"> (DeepSeek-V3, GPT-5.5 standard, GPT-5.5 structured) showing that under the tested prompts, this structured decomposition design does not improve strong_action detection, while R4 provides complementary value on this relation — bounded by silver-label and single-run limitations. A planned gold validation (§VII) is specified but not yet populated.</w:t>
      </w:r>
    </w:p>
    <w:p>
      <w:r>
        <w:t xml:space="preserve">The remainder of the paper is organized as follows: §II positions the work; §III formulates the task and provides taxonomy examples (Table 0) and the decision tree (Figure 2); §IV describes the CESE-OCN R4 framework (Figure 1); §V describes the data and protocol; §VI reports silver-stage results (Figure 3, Tables 1-3); </w:t>
      </w:r>
      <w:r>
        <w:rPr>
          <w:b/>
        </w:rPr>
        <w:t xml:space="preserve">§VII specifies the Planned Gold Validation, including placeholder Tables G1-G3 and pre-registered success/downgrade criteria</w:t>
      </w:r>
      <w:r>
        <w:t xml:space="preserve">; §VIII discusses implications;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closest recent line to our framing is scientific overstatement and evidence-aligned claim evaluation. RIGOURATE explicitly quantifies scientific exaggeration by aligning paper claims with supporting evidence and predicting overstatement scores [30], while the evidence-licensed claims perspective frames scientific writing as a problem of calibrating assertion rights to available evidence [31]. CESE-OCN differs by operationalizing this idea as a four-class claim-evidence relation taxonomy with a relation-specific router for strong_action_overclaim.</w:t>
      </w:r>
    </w:p>
    <w:p>
      <w:r>
        <w:t xml:space="preserve">The current pre-gold findings suggest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(baseline strong-F1 0.2408), and why a relation-specific router (R4, strong-F1 0.3967) is needed. Whether this pattern holds under gold adjudication is the subject of §VII.</w:t>
      </w:r>
    </w:p>
    <w:p>
      <w:r>
        <w:t xml:space="preserve">The revised manuscript is a </w:t>
      </w:r>
      <w:r>
        <w:rPr>
          <w:b/>
        </w:rPr>
        <w:t xml:space="preserve">pilot diagnostic study</w:t>
      </w:r>
      <w:r>
        <w:t xml:space="preserve"> of an evidence-sufficiency calibration framework with a relation-specific router. It is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pilot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not as gold adjudications.</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future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Core Hard Case</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pPr>
        <w:pStyle w:val="Heading2"/>
      </w:pPr>
      <w:r>
        <w:t xml:space="preserve">IV. CESE-OCN 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pilot diagnostic results support this: contradiction is comparatively well captured by NLI-style evidence signals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diagnostic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Silver-Label Pilot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should not be described as human-gold.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pilot,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Sanity Check</w:t>
      </w:r>
    </w:p>
    <w:p>
      <w:r>
        <w:t xml:space="preserve">To test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This is a </w:t>
      </w:r>
      <w:r>
        <w:rPr>
          <w:b/>
        </w:rPr>
        <w:t xml:space="preserve">sanity check</w:t>
      </w:r>
      <w:r>
        <w:t xml:space="preserve"> for generic support/refutation transfer; it cannot replace SimClaim gold evaluation.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not ready to be treated as gold.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must be interpreted as </w:t>
      </w:r>
      <w:r>
        <w:rPr>
          <w:b/>
        </w:rPr>
        <w:t xml:space="preserve">pre-gold diagnostic evidence against silver labels, pending independent gold adjudication</w:t>
      </w:r>
      <w:r>
        <w:t xml:space="preserve"> — not as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future gold adjudication priority; `trusted_case_bank.csv` (18 cases, ≥4 per class) provides clear illustrative cases for paper examples — none of which are claimed as gold. The full audit is in `author_sanity_audit_40.csv`.</w:t>
      </w:r>
    </w:p>
    <w:p>
      <w:pPr>
        <w:pStyle w:val="Heading3"/>
      </w:pPr>
      <w:r>
        <w:t xml:space="preserve">E. Exploratory Framing</w:t>
      </w:r>
    </w:p>
    <w:p>
      <w:r>
        <w:t xml:space="preserve">Because the dataset is small, silver-labeled, and the author sanity audit flags substantial label uncertainty, all results are framed as </w:t>
      </w:r>
      <w:r>
        <w:rPr>
          <w:b/>
        </w:rPr>
        <w:t xml:space="preserve">pre-gold pilot diagnostic findings</w:t>
      </w:r>
      <w:r>
        <w:t xml:space="preserve">. A higher-tier confirmatory submission would require 300–500 independently adjudicated claim-evidence pairs, inter-annotator agreement statistics, significance tests against stronger external baselines, and external validation. The planned gold validation (§VII) is the next step toward that target.</w:t>
      </w:r>
    </w:p>
    <w:p>
      <w:pPr>
        <w:pStyle w:val="Heading2"/>
      </w:pPr>
      <w:r>
        <w:t xml:space="preserve">VI. Results (Silver-Stage)</w:t>
      </w:r>
    </w:p>
    <w:p>
      <w:pPr>
        <w:pStyle w:val="TableCell"/>
      </w:pPr>
      <w:r>
        <w:t xml:space="preserve">All numeric results in this section are computed against silver labels and should be read as </w:t>
      </w:r>
      <w:r>
        <w:rPr>
          <w:b/>
        </w:rPr>
        <w:t xml:space="preserve">silver-stage evidence</w:t>
      </w:r>
      <w:r>
        <w:t xml:space="preserve"> and </w:t>
      </w:r>
      <w:r>
        <w:rPr>
          <w:b/>
        </w:rPr>
        <w:t xml:space="preserve">pre-gold findings</w:t>
      </w:r>
      <w:r>
        <w:t xml:space="preserve">. They are not gold benchmark numbers. The planned gold validation in §VII specifies how these numbers will be re-evaluated once gold labels are available.</w:t>
      </w:r>
    </w:p>
    <w:p>
      <w:pPr>
        <w:pStyle w:val="Heading3"/>
      </w:pPr>
      <w:r>
        <w:t xml:space="preserve">A. Internal Silver Diagnostic Results (Table 1)</w:t>
      </w:r>
    </w:p>
    <w:p>
      <w:r>
        <w:t xml:space="preserve">The strongest silver-stage result is that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(silver-label pilot,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LIMITATION, not a feature: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LLMs are stronger overall, but R4 targets the strong_action gap on silver labels — pre-gold finding.</w:t>
      </w:r>
    </w:p>
    <w:p>
      <w:r>
        <w:rPr>
          <w:b/>
        </w:rPr>
        <w:t xml:space="preserve">Key findings (all pre-gold, computed against silver labels):</w:t>
      </w:r>
    </w:p>
    <w:p>
      <w:pPr>
        <w:pStyle w:val="ListNumber"/>
      </w:pPr>
      <w:r>
        <w:rPr>
          <w:b/>
        </w:rPr>
        <w:t xml:space="preserve">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(precision 1.0, recall 0.04 = 1/25), while reaching macro-F1 0.5270 and contradiction-F1 0.8317 — strong overall, missing strong_action.</w:t>
      </w:r>
    </w:p>
    <w:p>
      <w:pPr>
        <w:pStyle w:val="ListNumber"/>
      </w:pPr>
      <w:r>
        <w:rPr>
          <w:b/>
        </w:rPr>
        <w:t xml:space="preserve">R4 provides targeted complementary value.</w:t>
      </w:r>
      <w:r>
        <w:t xml:space="preserve"> On the same 100 samples where GPT and DeepSeek achieve strong_F1 0.0769, R4 achieves strong_F1 0.3000 (absolute gap +0.2231). On the 200-sample set, R4 achieves strong_F1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outperforming LLM judges overall.</w:t>
      </w:r>
      <w:r>
        <w:t xml:space="preserve">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value on strong_action_overclaim, at the cost of lower overall macro-F1. </w:t>
      </w:r>
      <w:r>
        <w:rPr>
          <w:b/>
        </w:rPr>
        <w:t xml:space="preserve">Whether this pre-gold pattern survives gold adjudication is the subject of §VII.</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validation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future gold adjudication priority; `trusted_case_bank.csv` (18 cases, ≥4 per class) provides clear illustrative cases for paper examples — none claimed as gold.</w:t>
      </w:r>
    </w:p>
    <w:p>
      <w:pPr>
        <w:pStyle w:val="Heading3"/>
      </w:pPr>
      <w:r>
        <w:t xml:space="preserve">D. External Public Dataset Sanity Check</w:t>
      </w:r>
    </w:p>
    <w:p>
      <w:r>
        <w:t xml:space="preserve">We run a small gold-derived subset evaluation on SciFact and VitaminC. </w:t>
      </w:r>
      <w:r>
        <w:rPr>
          <w:b/>
        </w:rPr>
        <w:t xml:space="preserve">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external check validates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external check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sanity checks</w:t>
      </w:r>
      <w:r>
        <w:t xml:space="preserve">, not benchmark superiority claims.</w:t>
      </w:r>
    </w:p>
    <w:p>
      <w:pPr>
        <w:pStyle w:val="Heading2"/>
      </w:pPr>
      <w:r>
        <w:t xml:space="preserve">VII. Planned Gold Validation</w:t>
      </w:r>
    </w:p>
    <w:p>
      <w:pPr>
        <w:pStyle w:val="TableCell"/>
      </w:pPr>
      <w:r>
        <w:t xml:space="preserve">This section is </w:t>
      </w:r>
      <w:r>
        <w:rPr>
          <w:b/>
        </w:rPr>
        <w:t xml:space="preserve">new in V3.9</w:t>
      </w:r>
      <w:r>
        <w:t xml:space="preserve">. It specifies the planned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R4 strong-F1 = 0.3967, LLM strong-F1 = 0.0769, the +0.2231 gap — is computed against these silver labels. Without independent gold adjudication, we cannot tell whether the central pre-gold finding (R4 targets a relation that LLM judges miss under the tested prompts) reflects a real property of LLM judges or an artifact of silver label noise concentrated at the mild_vs_strong boundary. Gold adjudication is therefore the single most consequential next step.</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pre-gold finding.</w:t>
      </w:r>
    </w:p>
    <w:p>
      <w:pPr>
        <w:pStyle w:val="Heading3"/>
      </w:pPr>
      <w:r>
        <w:t xml:space="preserve">C. Silver-Stage Evidence Is Frozen</w:t>
      </w:r>
    </w:p>
    <w:p>
      <w:r>
        <w:t xml:space="preserve">The following silver-stage artifacts are frozen as of V3.9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w:t>
      </w:r>
    </w:p>
    <w:p>
      <w:pPr>
        <w:pStyle w:val="Heading3"/>
      </w:pPr>
      <w:r>
        <w:t xml:space="preserve">D. What Gold Will Test</w:t>
      </w:r>
    </w:p>
    <w:p>
      <w:r>
        <w:t xml:space="preserve">The planned gold validation tests six pre-registered hypotheses, each tied to a specific pre-gold claim in this manuscript:</w:t>
      </w:r>
    </w:p>
    <w:p>
      <w:pPr>
        <w:pStyle w:val="ListNumber"/>
      </w:pPr>
      <w:r>
        <w:rPr>
          <w:b/>
        </w:rPr>
        <w:t xml:space="preserve">H1 — Annotator agreement is sufficient to support the four-class taxonomy.</w:t>
      </w:r>
      <w:r>
        <w:t xml:space="preserve"> The pre-gold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pre-gold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pre-gold finding is that LLM judges (GPT-5.5, DeepSeek-V3) under-detect strong_action_overclaim (strong_F1 = 0.0769, recall 0.04). Gold will re-score the same frozen LLM predictions against gold labels. If LLM strong recall remains low (e.g., ≤ 0.20), the pre-gold finding is supported.</w:t>
      </w:r>
    </w:p>
    <w:p>
      <w:pPr>
        <w:pStyle w:val="ListNumber"/>
      </w:pPr>
      <w:r>
        <w:rPr>
          <w:b/>
        </w:rPr>
        <w:t xml:space="preserve">H5 — R4 provides targeted complementary value on strong_action under gold.</w:t>
      </w:r>
      <w:r>
        <w:t xml:space="preserve"> The pre-gold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but is not sufficient to support confirmatory benchmark claims.</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pre-gold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pre-gold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pre-gold findings supported.</w:t>
      </w:r>
      <w:r>
        <w:t xml:space="preserve"> This is the success path: the paper proceeds to a confirmatory submission with gold-validated numbers.</w:t>
      </w:r>
    </w:p>
    <w:p>
      <w:pPr>
        <w:pStyle w:val="Heading3"/>
      </w:pPr>
      <w:r>
        <w:t xml:space="preserve">H. Closing Claim</w:t>
      </w:r>
    </w:p>
    <w:p>
      <w:r>
        <w:rPr>
          <w:b/>
        </w:rPr>
        <w:t xml:space="preserve">The current silver-stage evidence motivates gold validation rather than replacing it.</w:t>
      </w:r>
      <w:r>
        <w:t xml:space="preserve"> Until gold results are available, all claims in this manuscript should be read as pre-gold findings on silver labels,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most consequential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fails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complementary positioning, not a competitive one. A combined system — LLM judge for supported/mild/contradiction, R4 for strong_action — could potentially exploit this complementarity, though we leave that to future work. Whether the macro-F1 gap is an acceptable trade-off depends on the downstream use case — for action-overclaim monitoring where missing a strong_action case is costly, the trade-off may be favorable; for generic claim verification, an LLM judge alone is preferable.</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consistent across the two tested models. Both GPT-5.5 and DeepSeek-V3 converge on strong_F1 = 0.0769 (recall = 0.04 = 1/25), and this structured 5-step decomposition prompt design does not change this. This suggests a consistent under-detection pattern under the tested prompts, not a single-model quirk. We do not claim this is a fundamental limit of LLMs — it is prompt/model/sample specific and computed against silver labels (which the author sanity audit flags as 62.5% questionable/unclear) — but under the tested prompts, the pattern is consistent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Independent gold validation (§VII) is required before this pre-gold pattern can be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pre-gold pattern (R4 &gt; LLM on strong_action) may hold even if individual labels shift under gold adjudication — but this is not guaranteed and is the subject of §VII; (2) the paper's claims are limited to aggregate pre-gold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future gold adjudication priority.</w:t>
      </w:r>
    </w:p>
    <w:p>
      <w:pPr>
        <w:pStyle w:val="Heading3"/>
      </w:pPr>
      <w:r>
        <w:t xml:space="preserve">D.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should be reported with clear silver-label limitations, without claims of final benchmark readiness, and without claims that R4 outperforms LLM judges overall.</w:t>
      </w:r>
    </w:p>
    <w:p>
      <w:pPr>
        <w:pStyle w:val="Heading2"/>
      </w:pPr>
      <w:r>
        <w:t xml:space="preserve">IX. Limitations</w:t>
      </w:r>
    </w:p>
    <w:p>
      <w:r>
        <w:t xml:space="preserve">This work is a </w:t>
      </w:r>
      <w:r>
        <w:rPr>
          <w:b/>
        </w:rPr>
        <w:t xml:space="preserve">diagnostic pilot study</w:t>
      </w:r>
      <w:r>
        <w:t xml:space="preserve">, not a confirmatory benchmark. The limitations below define the boundary of what the current results do and do not support.</w:t>
      </w:r>
    </w:p>
    <w:p>
      <w:pPr>
        <w:pStyle w:val="ListNumber"/>
      </w:pPr>
      <w:r>
        <w:rPr>
          <w:b/>
        </w:rPr>
        <w:t xml:space="preserve">Silver labels are not gold labels.</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pre-gold findings on the silver set. We do not claim gold/human-audited performance, human kappa, or Q1 readiness from silver data alone. The LLM under-detection finding (§VI.B) is computed against these silver labels and must be interpreted as pre-gold diagnostic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consistent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R4 macro-F1 = 0.3280 vs. GPT-5.5 = 0.5523 (gap 0.22). R4 is a relation-specific diagnostic complement, not a general-purpose classifier. It sacrifices macro-F1 for strong_action recall. We do not claim R4 is better than LLM judges overall — we claim R4 provides targeted value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(R4 strong-F1 = 0.3967, LLM strong-F1 = 0.0769) should be read as pre-gold diagnostic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datasets do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intentionally written as a pre-gold complete draft.</w:t>
      </w:r>
      <w:r>
        <w:t xml:space="preserve"> The gold validation section (§VII) is specified but not yet populated; all gold-related entries are marked `TO_BE_FILLED_AFTER_GOLD`. Final submission claims should be revised after gold results are available. If gold does not support the current taxonomy, the paper will be downgraded per the pre-registered criteria in §VII.G rather than re-tuned against gold.</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pilot, N ≤ 200" and are never merged with SimClaim main results or claimed as gold standard.</w:t>
      </w:r>
    </w:p>
    <w:p>
      <w:r>
        <w:t xml:space="preserve">These limitations do not invalidate the framework — they bound the strength of its claims. The contribution is a falsifiable framework and a frozen main method whose numeric claims are constrained by the paper-ready result pack, positioned as a pre-gold diagnostic complement to LLM judges rather than a competitive replacement. </w:t>
      </w:r>
      <w:r>
        <w:rPr>
          <w:b/>
        </w:rPr>
        <w:t xml:space="preserve">The current silver-stage evidence motivates gold validation rather than replacing it.</w:t>
      </w:r>
    </w:p>
    <w:p>
      <w:pPr>
        <w:pStyle w:val="Heading2"/>
      </w:pPr>
      <w:r>
        <w:t xml:space="preserve">X. Conclusion</w:t>
      </w:r>
    </w:p>
    <w:p>
      <w:r>
        <w:t xml:space="preserve">This revision reframes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The frozen R4 conservative strong router provides targeted value for </w:t>
      </w:r>
      <w:r>
        <w:rPr>
          <w:b/>
        </w:rPr>
        <w:t xml:space="preserve">strong_action_overclaim</w:t>
      </w:r>
      <w:r>
        <w:t xml:space="preserve"> on silver labels: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consistently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complement to black-box LLM judges, not a replacement.</w:t>
      </w:r>
      <w:r>
        <w:t xml:space="preserve"> LLM judges retain substantially higher overall macro-F1 (GPT-5.5: 0.5523 vs. R4: 0.3280 on matched 100) and contradiction-F1; R4 targets the specific relation they miss under the tested prompts, at the cost of lower macro-F1. External sanity checks on SciFact and VitaminC show R4-compatible methods run on public data but underperform NLI cross-encoders on generic support/refutation; public data cannot test the four-class evidence-sufficiency taxonomy.</w:t>
      </w:r>
    </w:p>
    <w:p>
      <w:r>
        <w:t xml:space="preserve">The result is promising but </w:t>
      </w:r>
      <w:r>
        <w:rPr>
          <w:b/>
        </w:rPr>
        <w:t xml:space="preserve">pre-gold</w:t>
      </w:r>
      <w:r>
        <w:t xml:space="preserve">. The author sanity audit flags 62.5% of silver labels as questionable or unclear, confirming that independent gold adjudication (§VII) is required before the LLM under-detection finding can be treated as established. The paper should be reported with clear silver-label limitations, without claims of final benchmark readiness, and without claims that R4 outperforms LLM judges overall. R4 provides targeted value for strong_action_overclaim detection and evidence sufficiency calibration — as a complement to LLM judges, not a replacement. </w:t>
      </w:r>
      <w:r>
        <w:rPr>
          <w:b/>
        </w:rPr>
        <w:t xml:space="preserve">The current silver-stage evidence motivates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current silver diagnostic set, R4 improves strong-action positive-F1 from 0.2408 to 0.3967 while preserving contradiction and escalation performance."</w:t>
      </w:r>
    </w:p>
    <w:p>
      <w:pPr>
        <w:pStyle w:val="ListBullet"/>
      </w:pPr>
      <w:r>
        <w:t xml:space="preserve">"On silver-label pilot data, the conservative-strong router yields a strong-action positive-F1 delta of +0.1559 (CI [0.1058, 0.1988], 10/10 seeds positive)."</w:t>
      </w:r>
    </w:p>
    <w:p>
      <w:pPr>
        <w:pStyle w:val="ListBullet"/>
      </w:pPr>
      <w:r>
        <w:t xml:space="preserve">"Under the tested prompts, generic LLM judges (GPT-5.5, DeepSeek-V3) consistently under-detect strong_action_overclaim on the tested samples — a pre-gold finding on silver labels."</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relation-specific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independent gold adjudication (§VII) is required."</w:t>
      </w:r>
    </w:p>
    <w:p>
      <w:pPr>
        <w:pStyle w:val="ListBullet"/>
      </w:pPr>
      <w:r>
        <w:t xml:space="preserve">"The mixed framework is positioned as a pre-gold action-overclaim diagnostic, not a final calibrated benchmark."</w:t>
      </w:r>
    </w:p>
    <w:p>
      <w:pPr>
        <w:pStyle w:val="ListBullet"/>
      </w:pPr>
      <w:r>
        <w:t xml:space="preserve">"The current silver-stage evidence motivates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"pre-gold under-detection pattern under the tested prompts" instead)</w:t>
      </w:r>
    </w:p>
    <w:p>
      <w:pPr>
        <w:pStyle w:val="ListBullet"/>
      </w:pPr>
      <w:r>
        <w:t xml:space="preserve">"Validated taxonomy." (use "frozen taxonomy pending gold validation" instead)</w:t>
      </w:r>
    </w:p>
    <w:p>
      <w:pPr>
        <w:pStyle w:val="ListBullet"/>
      </w:pPr>
      <w:r>
        <w:t xml:space="preserve">"Final proof." (use "pre-gold finding" instead)</w:t>
      </w:r>
    </w:p>
    <w:p>
      <w:pPr>
        <w:pStyle w:val="ListBullet"/>
      </w:pPr>
      <w:r>
        <w:t xml:space="preserve">"Gold benchmark." (use "silver-stage pilot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"consistent under-detection pattern under the tested prompts" instead).</w:t>
      </w:r>
    </w:p>
    <w:p>
      <w:pPr>
        <w:pStyle w:val="ListBullet"/>
      </w:pPr>
      <w:r>
        <w:t xml:space="preserve">"Submission-ready." (this is a pre-gold complete draft; not submission-ready until gold validation is completed)</w:t>
      </w:r>
    </w:p>
    <w:p>
      <w:pPr>
        <w:pStyle w:val="Heading3"/>
      </w:pPr>
      <w:r>
        <w:t xml:space="preserve">Cautious language (preferred):</w:t>
      </w:r>
    </w:p>
    <w:p>
      <w:pPr>
        <w:pStyle w:val="ListBullet"/>
      </w:pPr>
      <w:r>
        <w:t xml:space="preserve">"under the tested prompts" / "under this tested setting"</w:t>
      </w:r>
    </w:p>
    <w:p>
      <w:pPr>
        <w:pStyle w:val="ListBullet"/>
      </w:pPr>
      <w:r>
        <w:t xml:space="preserve">"on the current silver diagnostic set"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"consistent under-detection pattern (pre-gold)" (NOT "systematic blind spot", NOT "established")</w:t>
      </w:r>
    </w:p>
    <w:p>
      <w:pPr>
        <w:pStyle w:val="ListBullet"/>
      </w:pPr>
      <w:r>
        <w:t xml:space="preserve">"on silver-label pilot data" / "AI-preannotated, author-screened labels"</w:t>
      </w:r>
    </w:p>
    <w:p>
      <w:pPr>
        <w:pStyle w:val="ListBullet"/>
      </w:pPr>
      <w:r>
        <w:t xml:space="preserve">"pre-gold pilot diagnostic study" / "not fully adjudicated gold"</w:t>
      </w:r>
    </w:p>
    <w:p>
      <w:pPr>
        <w:pStyle w:val="ListBullet"/>
      </w:pPr>
      <w:r>
        <w:t xml:space="preserve">"suggests" / "supports" / "is consistent with" / "does not support"</w:t>
      </w:r>
    </w:p>
    <w:p>
      <w:pPr>
        <w:pStyle w:val="ListBullet"/>
      </w:pPr>
      <w:r>
        <w:t xml:space="preserve">"complements black-box LLM judges"</w:t>
      </w:r>
    </w:p>
    <w:p>
      <w:pPr>
        <w:pStyle w:val="ListBullet"/>
      </w:pPr>
      <w:r>
        <w:t xml:space="preserve">"evidence sufficiency rather than generic factuality"</w:t>
      </w:r>
    </w:p>
    <w:p>
      <w:pPr>
        <w:pStyle w:val="ListBullet"/>
      </w:pPr>
      <w:r>
        <w:t xml:space="preserve">"relation-specific complement" / "pre-gold diagnostic, not benchmark"</w:t>
      </w:r>
    </w:p>
    <w:p>
      <w:pPr>
        <w:pStyle w:val="ListBullet"/>
      </w:pPr>
      <w:r>
        <w:t xml:space="preserve">"pending independent gold validation (§VII)"</w:t>
      </w:r>
    </w:p>
    <w:p>
      <w:pPr>
        <w:pStyle w:val="ListBullet"/>
      </w:pPr>
      <w:r>
        <w:t xml:space="preserve">"silver-stage evidence motivates gold validation rather than replacing it"</w:t>
      </w:r>
    </w:p>
    <w:p>
      <w:pPr>
        <w:pStyle w:val="Heading2"/>
      </w:pPr>
      <w:r>
        <w:t xml:space="preserve">References</w:t>
      </w:r>
    </w:p>
    <w:p>
      <w:r>
        <w:t xml:space="preserve">[1] J. Thorne, A. Vlachos, C. Christodoulopoulos, and A. Mittal. 2018. FEVER: a Large-scale Dataset for Fact Extraction and VERification. NAACL-HLT.</w:t>
      </w:r>
    </w:p>
    <w:p>
      <w:r>
        <w:t xml:space="preserve">[2] S. R. Bowman, G. Angeli, C. Potts, and C. D. Manning. 2015. A large annotated corpus for learning natural language inference. EMNLP.</w:t>
      </w:r>
    </w:p>
    <w:p>
      <w:r>
        <w:t xml:space="preserve">[3] A. Wadden et al. 2020. Fact or Fiction: Verifying Scientific Claims. EMNLP.</w:t>
      </w:r>
    </w:p>
    <w:p>
      <w:r>
        <w:t xml:space="preserve">[4] P. McCullagh. 1980. Regression models for ordinal data. JRSS Series B, 42(2):109-142.</w:t>
      </w:r>
    </w:p>
    <w:p>
      <w:r>
        <w:t xml:space="preserve">[5] F. Samejima. 1969. Estimation of latent ability using a response pattern of graded scores. Psychometrika Monograph Supplement, No. 17.</w:t>
      </w:r>
    </w:p>
    <w:p>
      <w:r>
        <w:t xml:space="preserve">[6] W. Cao, V. Mirjalili, and S. Raschka. 2020. Rank consistent ordinal regression for neural networks. Pattern Recognition Letters / arXiv:1901.07884.</w:t>
      </w:r>
    </w:p>
    <w:p>
      <w:r>
        <w:t xml:space="preserve">[7] X. Shi, W. Cao, and S. Raschka. 2021. Deep Neural Networks for Rank-Consistent Ordinal Regression Based on Conditional Probabilities. arXiv:2111.08851.</w:t>
      </w:r>
    </w:p>
    <w:p>
      <w:r>
        <w:t xml:space="preserve">[8] M. Schlichtkrull et al. 2018. Modeling Relational Data with Graph Convolutional Networks. ESWC.</w:t>
      </w:r>
    </w:p>
    <w:p>
      <w:r>
        <w:t xml:space="preserve">[9] R. G. Sargent. 2013. Verification and validation of simulation models. Journal of Simulation, 7(1):12-24.</w:t>
      </w:r>
    </w:p>
    <w:p>
      <w:r>
        <w:t xml:space="preserve">[10] J. Pearl. 2009. Causality: Models, Reasoning, and Inference, 2nd ed. Cambridge University Press.</w:t>
      </w:r>
    </w:p>
    <w:p>
      <w:r>
        <w:t xml:space="preserve">[11] R. L. Keeney and H. Raiffa. 1976. Decisions with Multiple Objectives: Preferences and Value Tradeoffs. Wiley.</w:t>
      </w:r>
    </w:p>
    <w:p>
      <w:r>
        <w:t xml:space="preserve">[12] S. Es, J. James, L. Espinosa-Anke, and S. Schockaert. 2024. RAGAs: Automated Evaluation of Retrieval Augmented Generation. EACL Demo.</w:t>
      </w:r>
    </w:p>
    <w:p>
      <w:r>
        <w:t xml:space="preserve">[13] J. Saad-Falcon, O. Khattab, C. Potts, and M. Zaharia. 2024. ARES: An Automated Evaluation Framework for Retrieval-Augmented Generation Systems. NAACL.</w:t>
      </w:r>
    </w:p>
    <w:p>
      <w:r>
        <w:t xml:space="preserve">[14] Y. Liu et al. 2023. G-Eval: NLG Evaluation using GPT-4 with Better Human Alignment. EMNLP.</w:t>
      </w:r>
    </w:p>
    <w:p>
      <w:r>
        <w:t xml:space="preserve">[15] L. Zheng et al. 2023. Judging LLM-as-a-Judge with MT-Bench and Chatbot Arena. NeurIPS.</w:t>
      </w:r>
    </w:p>
    <w:p>
      <w:r>
        <w:t xml:space="preserve">[16] S. S. Stevens. 1946. On the theory of scales of measurement. Science, 103(2684):677-680.</w:t>
      </w:r>
    </w:p>
    <w:p>
      <w:r>
        <w:t xml:space="preserve">[17] S. Messick. 1995. Validity of psychological assessment. American Psychologist, 50(9):741-749.</w:t>
      </w:r>
    </w:p>
    <w:p>
      <w:r>
        <w:t xml:space="preserve">[18] K. Krippendorff. 2018. Content Analysis: An Introduction to Its Methodology, 4th ed. SAGE.</w:t>
      </w:r>
    </w:p>
    <w:p>
      <w:r>
        <w:t xml:space="preserve">[19] J. Cohen. 1960. A coefficient of agreement for nominal scales. Educational and Psychological Measurement, 20(1):37-46.</w:t>
      </w:r>
    </w:p>
    <w:p>
      <w:r>
        <w:t xml:space="preserve">[20] B. Ellis et al. 2023. SMACv2: An Improved Benchmark for Cooperative Multi-Agent Reinforcement Learning. arXiv.</w:t>
      </w:r>
    </w:p>
    <w:p>
      <w:r>
        <w:t xml:space="preserve">[21] C. Baillie et al. 2020. CybORG: An Autonomous Cyber Operations Research Gym. arXiv:2002.10667.</w:t>
      </w:r>
    </w:p>
    <w:p>
      <w:r>
        <w:t xml:space="preserve">[22] J. K. Terry et al. 2021. PettingZoo: Gym for Multi-Agent Reinforcement Learning. NeurIPS.</w:t>
      </w:r>
    </w:p>
    <w:p>
      <w:r>
        <w:t xml:space="preserve">[23] J. Z. Leibo et al. 2021. Scalable Evaluation of Multi-Agent Reinforcement Learning with Melting Pot. ICML.</w:t>
      </w:r>
    </w:p>
    <w:p>
      <w:r>
        <w:t xml:space="preserve">[24] DeepSeek-AI. 2024. DeepSeek-V3 Technical Report. arXiv:2412.19437.</w:t>
      </w:r>
    </w:p>
    <w:p>
      <w:r>
        <w:t xml:space="preserve">[25] K. Hyland. 2005. Metadiscourse: Exploring Interaction in Writing. Continuum.</w:t>
      </w:r>
    </w:p>
    <w:p>
      <w:r>
        <w:t xml:space="preserve">[26] S. Desai and G. Durrett. 2020. Calibration of Pre-trained Transformers. EMNLP.</w:t>
      </w:r>
    </w:p>
    <w:p>
      <w:r>
        <w:t xml:space="preserve">[27] S. Kumar, A. Sharma, S. H. Khincha, G. Shroff, S. R. Singh, and R. Mishra. 2025. SciClaimHunt: A Large Dataset for Evidence-based Scientific Claim Verification. arXiv:2502.10003.</w:t>
      </w:r>
    </w:p>
    <w:p>
      <w:r>
        <w:t xml:space="preserve">[28] S. R. Javaji, Y. Cao, H. Li, Y. Yu, N. Muralidhar, and Z. Zhu. 2025. Can AI Validate Science? Benchmarking LLMs on Claim-Evidence Reasoning in AI Papers. IJCNLP-AACL.</w:t>
      </w:r>
    </w:p>
    <w:p>
      <w:r>
        <w:t xml:space="preserve">[29] S. Sadeghi, K. Khajavi, R. Adhikari, and A. Tessier. 2026. DeepSciVerify: Verifying Scientific Claim-Citation Alignment via LLM-Driven Evidence Escalation. arXiv:2605.27710.</w:t>
      </w:r>
    </w:p>
    <w:p>
      <w:r>
        <w:t xml:space="preserve">[30] J. James, C. Xiao, Y. Li, N. S. Moosavi, and C. Lin. 2026. RIGOURATE: Quantifying Scientific Exaggeration with Evidence-Aligned Claim Evaluation. arXiv:2601.04350.</w:t>
      </w:r>
    </w:p>
    <w:p>
      <w:r>
        <w:t xml:space="preserve">[31] H. Li. 2026. The Calibration Turn in AI-Assisted Research: A Conceptual and Methodological Framework for Evidence-Licensed Claims. arXiv:2606.31273.</w:t>
      </w:r>
    </w:p>
    <w:p>
      <w:r>
        <w:t xml:space="preserve">[32] J. Gu et al. 2024. A Survey on LLM-as-a-Judge. arXiv:2411.15594.</w:t>
      </w:r>
    </w:p>
    <w:p>
      <w:r>
        <w:t xml:space="preserve">[33] A. Bavaresco et al. 2025. LLMs instead of Human Judges? A Large Scale Empirical Study across 20 NLP Evaluation Tasks. ACL.</w:t>
      </w:r>
    </w:p>
    <w:p>
      <w:r>
        <w:t xml:space="preserve">[34] M. Krumdick, C. Lovering, V. Reddy, S. Ebner, and C. Tanner. 2025. No Free Labels: Limitations of LLM-as-a-Judge Without Human Grounding. arXiv:2503.05061.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