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3A5C"/>
        </w:rPr>
        <w:t>Canadian Macro Strategic Dashboard</w:t>
      </w:r>
    </w:p>
    <w:p>
      <w:pPr>
        <w:jc w:val="center"/>
      </w:pPr>
      <w:r>
        <w:t>Weekly Intelligence Briefing — 2026-03-30 (Week 14)</w:t>
      </w:r>
    </w:p>
    <w:p/>
    <w:p>
      <w:pPr>
        <w:pStyle w:val="Heading1"/>
      </w:pPr>
      <w:r>
        <w:t>CANADIAN MACRO STRATEGIC DASHBOARD</w:t>
      </w:r>
    </w:p>
    <w:p>
      <w:pPr>
        <w:pStyle w:val="Heading2"/>
      </w:pPr>
      <w:r>
        <w:t>Week ending April 1, 2026</w:t>
      </w:r>
    </w:p>
    <w:p>
      <w:r>
        <w:t>---</w:t>
      </w:r>
    </w:p>
    <w:p>
      <w:pPr>
        <w:pStyle w:val="Heading2"/>
      </w:pPr>
      <w:r>
        <w:t>1. HEADLINE</w:t>
      </w:r>
    </w:p>
    <w:p>
      <w:r/>
      <w:r>
        <w:rPr>
          <w:b/>
        </w:rPr>
        <w:t>National project pipeline database initializes at 6,615 projects valued at $1.162 trillion; Manitoba and Newfoundland &amp; Labrador account for over half of tracked activity by share.</w:t>
      </w:r>
      <w:r>
        <w:t xml:space="preserve"> The baseline capture logged 3,413 active projects across all provinces, with 152 recorded as cancelled and value coverage standing at 17% of the total pipeline.</w:t>
      </w:r>
    </w:p>
    <w:p>
      <w:r>
        <w:t>---</w:t>
      </w:r>
    </w:p>
    <w:p>
      <w:pPr>
        <w:pStyle w:val="Heading2"/>
      </w:pPr>
      <w:r>
        <w:t>2. MACRO PULSE</w:t>
      </w:r>
    </w:p>
    <w:p>
      <w:r>
        <w:t>No significant movements were recorded across major national economic indicators this week. The Bank of Canada rate, CPI, GDP, and unemployment figures registered no period-over-period changes in the available data.</w:t>
      </w:r>
    </w:p>
    <w:p>
      <w:r>
        <w:t>The TSX infrastructure equities basket closed at 55.14, a weekly gain of 1.4% from 54.37. On a monthly basis, the basket remained 1.9% below its 56.24 level recorded one month prior. Year-over-year, the basket was up 29.3% from 42.64.</w:t>
      </w:r>
    </w:p>
    <w:p>
      <w:r>
        <w:t>The national project pipeline now tracks 6,615 projects with a combined stated value of $1.162 trillion. Of these, 3,413 carry active status. The 152 cancelled projects represent 2.3% of the total tracked count. Value data is available for 17% of projects, meaning $197.5 billion of the pipeline carries disclosed cost estimates.</w:t>
      </w:r>
    </w:p>
    <w:p>
      <w:r>
        <w:t>Infrastructure is the largest single category by project count, with 1,032 projects across related sub-categories (infrastructure: 714; Infrastructure: 318). Water &amp; Wastewater follows at 516 projects. The "Other" classification contains 2,345 projects, the single largest bucket, indicating a significant share of the pipeline sits outside primary sector designations.</w:t>
      </w:r>
    </w:p>
    <w:p>
      <w:r>
        <w:t>No federal budget announcements, trade policy changes, or Bank of Canada communications were recorded during the period.</w:t>
      </w:r>
    </w:p>
    <w:p>
      <w:r>
        <w:t>---</w:t>
      </w:r>
    </w:p>
    <w:p>
      <w:pPr>
        <w:pStyle w:val="Heading2"/>
      </w:pPr>
      <w:r>
        <w:t>3. UNDER THE MICROSCOPE</w:t>
      </w:r>
    </w:p>
    <w:p>
      <w:r>
        <w:t>*No deep-dive analysis available this week.*</w:t>
      </w:r>
    </w:p>
    <w:p>
      <w:r>
        <w:t>---</w:t>
      </w:r>
    </w:p>
    <w:p>
      <w:pPr>
        <w:pStyle w:val="Heading2"/>
      </w:pPr>
      <w:r>
        <w:t>4. PROVINCIAL SPOTLIGHT: MANITOBA</w:t>
      </w:r>
    </w:p>
    <w:p>
      <w:r>
        <w:t>Manitoba holds the largest geographic share of the national project pipeline at 30.6%, despite being Canada's fifth-most-populous province. This translates to approximately 2,024 of the 6,615 tracked projects.</w:t>
      </w:r>
    </w:p>
    <w:p>
      <w:r>
        <w:t>The province's project count exceeds that of Ontario (7.5% share, ~496 projects) and Alberta (9.9% share, ~655 projects) combined. Newfoundland &amp; Labrador is the second-largest jurisdiction at 22.8% share (~1,508 projects).</w:t>
      </w:r>
    </w:p>
    <w:p>
      <w:r>
        <w:t>Manitoba's pipeline spans multiple sectors. The concentration suggests a substantial volume of water, wastewater, and municipal infrastructure undertakings within the province. No specific provincial policy changes were recorded for Manitoba during the period.</w:t>
      </w:r>
    </w:p>
    <w:p>
      <w:r>
        <w:t>---</w:t>
      </w:r>
    </w:p>
    <w:p>
      <w:pPr>
        <w:pStyle w:val="Heading2"/>
      </w:pPr>
      <w:r>
        <w:t>5. SECTOR WATCH</w:t>
      </w:r>
    </w:p>
    <w:p>
      <w:r/>
      <w:r>
        <w:rPr>
          <w:b/>
        </w:rPr>
        <w:t>Water &amp; Wastewater</w:t>
      </w:r>
      <w:r>
        <w:t xml:space="preserve"> registered 516 projects in the initial pipeline capture, making it the largest defined sector outside the general "infrastructure" and "Other" classifications.</w:t>
      </w:r>
    </w:p>
    <w:p>
      <w:r/>
      <w:r>
        <w:rPr>
          <w:b/>
        </w:rPr>
        <w:t>Transit &amp; Rail</w:t>
      </w:r>
      <w:r>
        <w:t xml:space="preserve"> logged 265 projects. </w:t>
      </w:r>
      <w:r>
        <w:rPr>
          <w:b/>
        </w:rPr>
        <w:t>Energy</w:t>
      </w:r>
      <w:r>
        <w:t xml:space="preserve"> categories collectively totalled 782 projects when combining Energy (238), power_energy (312), Clean Energy (187), and Energy Storage Facilities (15), though overlap between classifications may exist.</w:t>
      </w:r>
    </w:p>
    <w:p>
      <w:r/>
      <w:r>
        <w:rPr>
          <w:b/>
        </w:rPr>
        <w:t>Healthcare</w:t>
      </w:r>
      <w:r>
        <w:t xml:space="preserve"> recorded 233 projects across its sub-categories (healthcare: 218; Healthcare: 15). </w:t>
      </w:r>
      <w:r>
        <w:rPr>
          <w:b/>
        </w:rPr>
        <w:t>Education</w:t>
      </w:r>
      <w:r>
        <w:t xml:space="preserve"> totalled 145 projects (education: 143; Education: 2).</w:t>
      </w:r>
    </w:p>
    <w:p>
      <w:r/>
      <w:r>
        <w:rPr>
          <w:b/>
        </w:rPr>
        <w:t>Mining</w:t>
      </w:r>
      <w:r>
        <w:t xml:space="preserve"> logged 340 projects across related categories (mining: 139; Mining: 166; Mineral Mines: 21; Coal Mines: 14). </w:t>
      </w:r>
      <w:r>
        <w:rPr>
          <w:b/>
        </w:rPr>
        <w:t>Residential and Housing</w:t>
      </w:r>
      <w:r>
        <w:t xml:space="preserve"> combined for 166 projects (residential: 138; Housing: 28).</w:t>
      </w:r>
    </w:p>
    <w:p>
      <w:r>
        <w:t>No sectors registered decelerating momentum. All sector counts represent baseline captures with no prior-period comparison available.</w:t>
      </w:r>
    </w:p>
    <w:p>
      <w:r>
        <w:t>---</w:t>
      </w:r>
    </w:p>
    <w:p>
      <w:pPr>
        <w:pStyle w:val="Heading2"/>
      </w:pPr>
      <w:r>
        <w:t>6. PROJECT TRACKER</w:t>
      </w:r>
    </w:p>
    <w:p>
      <w:r/>
      <w:r>
        <w:rPr>
          <w:b/>
        </w:rPr>
        <w:t>IAAC Assessment Advances:</w:t>
      </w:r>
      <w:r>
        <w:t xml:space="preserve"> Five projects moved from "Proposed" to "Under Review" status in federal impact assessment this week.</w:t>
      </w:r>
    </w:p>
    <w:p>
      <w:r>
        <w:t xml:space="preserve">In Alberta, three projects advanced: the </w:t>
      </w:r>
      <w:r>
        <w:rPr>
          <w:b/>
        </w:rPr>
        <w:t>Alberta Rural Broadband Deployment (2025–2026)</w:t>
      </w:r>
      <w:r>
        <w:t xml:space="preserve">, </w:t>
      </w:r>
      <w:r>
        <w:rPr>
          <w:b/>
        </w:rPr>
        <w:t>Big Island Provincial Park</w:t>
      </w:r>
      <w:r>
        <w:t xml:space="preserve">, and the </w:t>
      </w:r>
      <w:r>
        <w:rPr>
          <w:b/>
        </w:rPr>
        <w:t>De Havilland Field Aircraft Manufacturing and Operations Centre</w:t>
      </w:r>
      <w:r>
        <w:t>.</w:t>
      </w:r>
    </w:p>
    <w:p>
      <w:r>
        <w:t xml:space="preserve">In British Columbia, two projects advanced: </w:t>
      </w:r>
      <w:r>
        <w:rPr>
          <w:b/>
        </w:rPr>
        <w:t>1314–1324 Wharf Street</w:t>
      </w:r>
      <w:r>
        <w:t xml:space="preserve"> and </w:t>
      </w:r>
      <w:r>
        <w:rPr>
          <w:b/>
        </w:rPr>
        <w:t>Ladner Harbour Redevelopment</w:t>
      </w:r>
      <w:r>
        <w:t>.</w:t>
      </w:r>
    </w:p>
    <w:p>
      <w:r/>
      <w:r>
        <w:rPr>
          <w:b/>
        </w:rPr>
        <w:t>British Columbia Policy — Housing:</w:t>
      </w:r>
      <w:r>
        <w:t xml:space="preserve"> The BC government moved to open more homes in West Vancouver. The tracked pipeline contains 51 projects in scope for this policy area within BC.</w:t>
      </w:r>
    </w:p>
    <w:p>
      <w:r>
        <w:t>The overall pipeline recorded zero project completions during the period. Of 6,615 total projects, 3,413 are active, 152 are cancelled, and the remainder sit in pre-construction, proposed, or undetermined phases.</w:t>
      </w:r>
    </w:p>
    <w:p>
      <w:r>
        <w:t>---</w:t>
      </w:r>
    </w:p>
    <w:p>
      <w:pPr>
        <w:pStyle w:val="Heading2"/>
      </w:pPr>
      <w:r>
        <w:t>7. MARKETS &amp; COMMODITIES</w:t>
      </w:r>
    </w:p>
    <w:p>
      <w:r>
        <w:t>The TSX infrastructure basket closed at 55.14 on the week, up 1.4% from the prior week's 54.37. The basket sits 1.9% below its one-month-ago level of 56.24. The 12-month gain stands at 29.3%, measured from 42.64.</w:t>
      </w:r>
    </w:p>
    <w:p>
      <w:r>
        <w:t>Utilities and Transportation sectors are the primary components reflected in the infrastructure basket's movement. No commodity-specific price data or trade policy changes were recorded during the period.</w:t>
      </w:r>
    </w:p>
    <w:p>
      <w:r>
        <w:t>No province-specific market impacts were identified in connection with this week's index movement. No trade policy developments affected commodity flows.</w:t>
      </w:r>
    </w:p>
    <w:p>
      <w:r>
        <w:t>---</w:t>
      </w:r>
    </w:p>
    <w:p>
      <w:pPr>
        <w:pStyle w:val="Heading2"/>
      </w:pPr>
      <w:r>
        <w:t>8. SCHEDULED EVENTS — NEXT 14 DAYS</w:t>
      </w:r>
    </w:p>
    <w:p>
      <w:r/>
      <w:r>
        <w:rPr>
          <w:b/>
        </w:rPr>
        <w:t>April 3, 2026 — Labour Force Survey</w:t>
      </w:r>
      <w:r>
        <w:t xml:space="preserve"> (Statistics Canada). Monthly national and provincial employment, unemployment, and participation data. High significance. Construction-sector employment figures and provincial breakdowns for AB, ON, and BC will indicate labour availability conditions for the active pipeline. The participation rate will distinguish between labour supply shifts and discouraged-worker effects.</w:t>
      </w:r>
    </w:p>
    <w:p>
      <w:r/>
      <w:r>
        <w:rPr>
          <w:b/>
        </w:rPr>
        <w:t>April 10, 2026 — Building Permits</w:t>
      </w:r>
      <w:r>
        <w:t xml:space="preserve"> (Statistics Canada). Monthly data serving as a 6-to-12-month leading indicator of construction activity by province. Medium significance.</w:t>
      </w:r>
    </w:p>
    <w:p>
      <w:r/>
      <w:r>
        <w:rPr>
          <w:b/>
        </w:rPr>
        <w:t>April 10, 2026 — Investment in Building Construction</w:t>
      </w:r>
      <w:r>
        <w:t xml:space="preserve"> (Statistics Canada). Monthly data measuring capital spending on non-residential construction nationally and by province. Medium significance.</w:t>
      </w:r>
    </w:p>
    <w:p>
      <w:r>
        <w:t>No Bank of Canada rate decisions or federal/provincial budget dates fall within the 14-day window.</w:t>
      </w:r>
    </w:p>
    <w:p>
      <w:r>
        <w:t>---</w:t>
      </w:r>
    </w:p>
    <w:p>
      <w:r>
        <w:t>*Filed: April 1, 2026 | Sources: Statistics Canada schedule, IAAC registry, TSX market data, provincial policy records, national project database. Total pipeline: 6,615 projects, $1.162T stated value.*</w:t>
      </w:r>
    </w:p>
    <w:p/>
    <w:p>
      <w:r>
        <w:rPr>
          <w:color w:val="999999"/>
          <w:sz w:val="16"/>
        </w:rPr>
        <w:t>Generated by Canadian Macro Strategic Dashboard — 2026-03-30 12:00 UTC</w:t>
      </w:r>
    </w:p>
    <w:p>
      <w:r>
        <w:rPr>
          <w:color w:val="999999"/>
          <w:sz w:val="16"/>
        </w:rPr>
        <w:t>All data sourced from verified Canadian government, news, and industry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