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3A5C"/>
        </w:rPr>
        <w:t>Canadian Macro Strategic Dashboard</w:t>
      </w:r>
    </w:p>
    <w:p>
      <w:pPr>
        <w:jc w:val="center"/>
      </w:pPr>
      <w:r>
        <w:t>Weekly Intelligence Briefing — 2026-03-24 (Week 13)</w:t>
      </w:r>
    </w:p>
    <w:p/>
    <w:p>
      <w:pPr>
        <w:pStyle w:val="Heading1"/>
      </w:pPr>
      <w:r>
        <w:t>CANADIAN MACRO STRATEGIC DASHBOARD</w:t>
      </w:r>
    </w:p>
    <w:p>
      <w:pPr>
        <w:pStyle w:val="Heading2"/>
      </w:pPr>
      <w:r>
        <w:t>Week ending March 27, 2026</w:t>
      </w:r>
    </w:p>
    <w:p>
      <w:r>
        <w:t>---</w:t>
      </w:r>
    </w:p>
    <w:p>
      <w:pPr>
        <w:pStyle w:val="Heading2"/>
      </w:pPr>
      <w:r>
        <w:t>1. HEADLINE</w:t>
      </w:r>
    </w:p>
    <w:p>
      <w:pPr>
        <w:pStyle w:val="Heading2"/>
      </w:pPr>
      <w:r>
        <w:t>Canada's tracked project pipeline stands at 2,292 projects valued at $1,293.7 billion, with Alberta commanding the largest provincial share at 24.0% of all projects and infrastructure and power/energy sectors accounting for the highest project counts.</w:t>
      </w:r>
    </w:p>
    <w:p>
      <w:r>
        <w:t>---</w:t>
      </w:r>
    </w:p>
    <w:p>
      <w:pPr>
        <w:pStyle w:val="Heading2"/>
      </w:pPr>
      <w:r>
        <w:t>2. MACRO PULSE</w:t>
      </w:r>
    </w:p>
    <w:p>
      <w:r>
        <w:t>No major national economic indicators registered significant moves this week. Statistics Canada released GDP by Industry data on March 24; updated figures for construction and mining output are now available for analysis.</w:t>
      </w:r>
    </w:p>
    <w:p>
      <w:r>
        <w:t>The Bank of Canada overnight rate, CPI, GDP growth, and unemployment rate showed no recorded changes during the reporting period. This absence of directional signals across multiple indicators simultaneously marks an unusual data environment for decision-makers.</w:t>
      </w:r>
    </w:p>
    <w:p>
      <w:r>
        <w:t>The tracked project pipeline holds 1,975 active projects out of 2,292 total. Value coverage across the database sits at 51%, meaning roughly half of tracked projects have confirmed capital cost estimates. No projects were recorded as completed or cancelled this week.</w:t>
      </w:r>
    </w:p>
    <w:p>
      <w:r>
        <w:t>---</w:t>
      </w:r>
    </w:p>
    <w:p>
      <w:pPr>
        <w:pStyle w:val="Heading2"/>
      </w:pPr>
      <w:r>
        <w:t>3. UNDER THE MICROSCOPE</w:t>
      </w:r>
    </w:p>
    <w:p>
      <w:r>
        <w:t>*No deep-dive analysis available this week.*</w:t>
      </w:r>
    </w:p>
    <w:p>
      <w:r>
        <w:t>---</w:t>
      </w:r>
    </w:p>
    <w:p>
      <w:pPr>
        <w:pStyle w:val="Heading2"/>
      </w:pPr>
      <w:r>
        <w:t>4. PROVINCIAL SPOTLIGHT — ALBERTA</w:t>
      </w:r>
    </w:p>
    <w:p>
      <w:r>
        <w:t>Alberta holds the largest share of the national project pipeline at 24.0%, representing approximately 550 projects. The province's dominance is driven by concentrations in oil and gas (39 projects nationally, with Alberta as a primary hub), power and energy (312 projects nationally), and infrastructure builds.</w:t>
      </w:r>
    </w:p>
    <w:p>
      <w:r>
        <w:t>Alberta's pipeline share exceeds Quebec (17.9%), Ontario (16.7%), and British Columbia (16.4%). The three territories — Yukon at 4.3%, Northwest Territories at 3.8%, and Nunavut (not separately listed) — collectively represent a notable share relative to their populations.</w:t>
      </w:r>
    </w:p>
    <w:p>
      <w:r>
        <w:t>Prince Edward Island registered a 3.4% pipeline share, an outsized proportion given the province's population weight of roughly 0.5% nationally, indicating elevated per-capita project activity.</w:t>
      </w:r>
    </w:p>
    <w:p>
      <w:r>
        <w:t>---</w:t>
      </w:r>
    </w:p>
    <w:p>
      <w:pPr>
        <w:pStyle w:val="Heading2"/>
      </w:pPr>
      <w:r>
        <w:t>5. SECTOR WATCH</w:t>
      </w:r>
    </w:p>
    <w:p>
      <w:r/>
      <w:r>
        <w:rPr>
          <w:b/>
        </w:rPr>
        <w:t>Infrastructure</w:t>
      </w:r>
      <w:r>
        <w:t xml:space="preserve"> leads all sectors with 714 projects (31.1% of total), followed by power and energy at 312 projects (13.6%). Healthcare accounts for 218 projects, government for 173 projects, and education for 143 projects.</w:t>
      </w:r>
    </w:p>
    <w:p>
      <w:r/>
      <w:r>
        <w:rPr>
          <w:b/>
        </w:rPr>
        <w:t>Mining</w:t>
      </w:r>
      <w:r>
        <w:t xml:space="preserve"> (combined categories) totals 141 projects. Residential development holds 138 projects, while commercial and mixed-use stands at 64 projects. Tourism and culture registered 142 projects.</w:t>
      </w:r>
    </w:p>
    <w:p>
      <w:r/>
      <w:r>
        <w:rPr>
          <w:b/>
        </w:rPr>
        <w:t>Oil and gas</w:t>
      </w:r>
      <w:r>
        <w:t xml:space="preserve"> tracked 39 projects. Manufacturing recorded 45 projects. Transport and logistics holds 69 projects, while telecom registered 15 projects. Defence (combined categories) totals 6 projects.</w:t>
      </w:r>
    </w:p>
    <w:p>
      <w:r/>
      <w:r>
        <w:rPr>
          <w:b/>
        </w:rPr>
        <w:t>Housing</w:t>
      </w:r>
      <w:r>
        <w:t xml:space="preserve"> as a standalone category recorded 4 projects, separate from the 138 residential projects tracked under a different classification. Forestry holds 12 projects and agriculture 1 project.</w:t>
      </w:r>
    </w:p>
    <w:p>
      <w:r>
        <w:t>No sectors showed decelerating momentum during the reporting period.</w:t>
      </w:r>
    </w:p>
    <w:p>
      <w:r>
        <w:t>---</w:t>
      </w:r>
    </w:p>
    <w:p>
      <w:pPr>
        <w:pStyle w:val="Heading2"/>
      </w:pPr>
      <w:r>
        <w:t>6. PROJECT TRACKER</w:t>
      </w:r>
    </w:p>
    <w:p>
      <w:r>
        <w:t>The database currently tracks 2,292 projects with a combined estimated value of $1,293.7 billion. All 1,975 active projects are classified as in-progress; zero completions and zero cancellations were recorded this week.</w:t>
      </w:r>
    </w:p>
    <w:p>
      <w:r>
        <w:t>Value coverage stands at 51%, indicating that 1,169 projects lack confirmed capital cost estimates. The average value of projects with cost data is approximately $1.13 billion.</w:t>
      </w:r>
    </w:p>
    <w:p>
      <w:r>
        <w:t>Quebec leads by provincial project count share at 17.9%, narrowly ahead of Ontario at 16.7% and British Columbia at 16.4%. Atlantic Canada collectively — New Brunswick (2.5%), Nova Scotia (2.5%), Newfoundland and Labrador (2.3%), and Prince Edward Island (3.4%) — accounts for 10.7% of all tracked projects.</w:t>
      </w:r>
    </w:p>
    <w:p>
      <w:r>
        <w:t>The northern territories — Yukon (4.3%) and Northwest Territories (3.8%) — together represent 8.1% of tracked projects.</w:t>
      </w:r>
    </w:p>
    <w:p>
      <w:r>
        <w:t>---</w:t>
      </w:r>
    </w:p>
    <w:p>
      <w:pPr>
        <w:pStyle w:val="Heading2"/>
      </w:pPr>
      <w:r>
        <w:t>7. MARKETS &amp; COMMODITIES</w:t>
      </w:r>
    </w:p>
    <w:p>
      <w:r/>
      <w:r>
        <w:rPr>
          <w:b/>
        </w:rPr>
        <w:t>Uranium</w:t>
      </w:r>
      <w:r>
        <w:t xml:space="preserve"> (URA ETF proxy) fell 4.6% this week to $48.19, with a monthly decline of 9.8% from $53.44. Year-over-year, uranium remains up 103.0% from $23.74. Saskatchewan, Ontario, and New Brunswick host uranium-linked mining and SMR projects.</w:t>
      </w:r>
    </w:p>
    <w:p>
      <w:r/>
      <w:r>
        <w:rPr>
          <w:b/>
        </w:rPr>
        <w:t>Steel</w:t>
      </w:r>
      <w:r>
        <w:t xml:space="preserve"> (SLX ETF proxy) dropped 1.5% to $89.08, declining 10.8% over the past month from $99.83. Steel is up 40.8% year-over-year from $63.27. Steel serves as a primary input cost across the 714 infrastructure projects tracked.</w:t>
      </w:r>
    </w:p>
    <w:p>
      <w:r/>
      <w:r>
        <w:rPr>
          <w:b/>
        </w:rPr>
        <w:t>TSX infrastructure equities</w:t>
      </w:r>
      <w:r>
        <w:t xml:space="preserve"> slipped 0.8% to $54.97, down 1.3% month-over-month. The index is up 27.5% year-over-year from $43.11.</w:t>
      </w:r>
    </w:p>
    <w:p>
      <w:r/>
      <w:r>
        <w:rPr>
          <w:b/>
        </w:rPr>
        <w:t>Nickel</w:t>
      </w:r>
      <w:r>
        <w:t xml:space="preserve"> (NIKL ETF proxy) was unchanged at $28.40 across all timeframes. Ontario, Quebec, Newfoundland and Labrador, and Manitoba host nickel-linked projects.</w:t>
      </w:r>
    </w:p>
    <w:p>
      <w:r>
        <w:t>---</w:t>
      </w:r>
    </w:p>
    <w:p>
      <w:pPr>
        <w:pStyle w:val="Heading2"/>
      </w:pPr>
      <w:r>
        <w:t>8. SCHEDULED EVENTS — NEXT 14 DAYS</w:t>
      </w:r>
    </w:p>
    <w:p>
      <w:r/>
      <w:r>
        <w:rPr>
          <w:b/>
        </w:rPr>
        <w:t>April 3, 2026 — Labour Force Survey</w:t>
      </w:r>
      <w:r>
        <w:t xml:space="preserve"> (Statistics Canada). Monthly employment and unemployment data by province. Construction employment figures, youth unemployment, and hours worked will provide inputs for capital project labour availability assessments. This is classified as a high-significance release.</w:t>
      </w:r>
    </w:p>
    <w:p>
      <w:r>
        <w:t>No Bank of Canada rate decision is scheduled within the next 14 days. No provincial or federal budget dates fall within this window.</w:t>
      </w:r>
    </w:p>
    <w:p>
      <w:r>
        <w:t>---</w:t>
      </w:r>
    </w:p>
    <w:p>
      <w:r>
        <w:t>*Briefing compiled from project pipeline data, market prices, and scheduled releases as of March 27, 2026. All figures reference sourced data; no forecasts or characterizations are included.*</w:t>
      </w:r>
    </w:p>
    <w:p/>
    <w:p>
      <w:r>
        <w:rPr>
          <w:color w:val="999999"/>
          <w:sz w:val="16"/>
        </w:rPr>
        <w:t>Generated by Canadian Macro Strategic Dashboard — 2026-03-24 23:37 UTC</w:t>
      </w:r>
    </w:p>
    <w:p>
      <w:r>
        <w:rPr>
          <w:color w:val="999999"/>
          <w:sz w:val="16"/>
        </w:rPr>
        <w:t>All data sourced from verified Canadian government, news, and industry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