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72964" w14:textId="73D656E7" w:rsidR="00E253ED" w:rsidRPr="00B55CD8" w:rsidRDefault="0057665E" w:rsidP="00C30DB4">
      <w:pPr>
        <w:spacing w:after="120" w:line="240" w:lineRule="auto"/>
        <w:rPr>
          <w:rFonts w:asciiTheme="majorBidi" w:hAnsiTheme="majorBidi" w:cstheme="majorBidi"/>
        </w:rPr>
      </w:pPr>
      <w:r w:rsidRPr="00B55CD8">
        <w:rPr>
          <w:rFonts w:asciiTheme="majorBidi" w:hAnsiTheme="majorBidi" w:cstheme="majorBidi"/>
        </w:rPr>
        <w:t xml:space="preserve">INTRODUCTION </w:t>
      </w:r>
    </w:p>
    <w:p w14:paraId="0F614E72" w14:textId="1955EF22" w:rsidR="0057665E" w:rsidRPr="00B55CD8" w:rsidRDefault="0057665E"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Scientists have stated that the tipping point into ecological and environmental devastation is a 2°C increase in the average global temperature compared to the pre-industrial baseline. They have also strongly urged that we try to avoid even the 1.5°C threshold, as </w:t>
      </w:r>
      <w:r w:rsidR="00452C18" w:rsidRPr="00B55CD8">
        <w:rPr>
          <w:rFonts w:asciiTheme="majorBidi" w:eastAsia="Times New Roman" w:hAnsiTheme="majorBidi" w:cstheme="majorBidi"/>
        </w:rPr>
        <w:t>its</w:t>
      </w:r>
      <w:r w:rsidRPr="00B55CD8">
        <w:rPr>
          <w:rFonts w:asciiTheme="majorBidi" w:eastAsia="Times New Roman" w:hAnsiTheme="majorBidi" w:cstheme="majorBidi"/>
        </w:rPr>
        <w:t xml:space="preserve"> effects may take centuries to recover from. </w:t>
      </w:r>
      <w:r w:rsidR="00373321">
        <w:rPr>
          <w:rFonts w:asciiTheme="majorBidi" w:eastAsia="Times New Roman" w:hAnsiTheme="majorBidi" w:cstheme="majorBidi"/>
        </w:rPr>
        <w:t>T</w:t>
      </w:r>
      <w:r w:rsidRPr="00B55CD8">
        <w:rPr>
          <w:rFonts w:asciiTheme="majorBidi" w:eastAsia="Times New Roman" w:hAnsiTheme="majorBidi" w:cstheme="majorBidi"/>
        </w:rPr>
        <w:t xml:space="preserve">o stay below the 1.5°C limit, countries would have to reduce the amount of greenhouse gases (GHGs) </w:t>
      </w:r>
      <w:r w:rsidR="00ED371C" w:rsidRPr="00B55CD8">
        <w:rPr>
          <w:rFonts w:asciiTheme="majorBidi" w:eastAsia="Times New Roman" w:hAnsiTheme="majorBidi" w:cstheme="majorBidi"/>
        </w:rPr>
        <w:t xml:space="preserve">they </w:t>
      </w:r>
      <w:r w:rsidRPr="00B55CD8">
        <w:rPr>
          <w:rFonts w:asciiTheme="majorBidi" w:eastAsia="Times New Roman" w:hAnsiTheme="majorBidi" w:cstheme="majorBidi"/>
        </w:rPr>
        <w:t xml:space="preserve">emit each year, working </w:t>
      </w:r>
      <w:r w:rsidR="00904FEA" w:rsidRPr="00B55CD8">
        <w:rPr>
          <w:rFonts w:asciiTheme="majorBidi" w:eastAsia="Times New Roman" w:hAnsiTheme="majorBidi" w:cstheme="majorBidi"/>
        </w:rPr>
        <w:t xml:space="preserve">to avoid a </w:t>
      </w:r>
      <w:r w:rsidRPr="00B55CD8">
        <w:rPr>
          <w:rFonts w:asciiTheme="majorBidi" w:eastAsia="Times New Roman" w:hAnsiTheme="majorBidi" w:cstheme="majorBidi"/>
        </w:rPr>
        <w:t xml:space="preserve">global concentration limit set by scientists. This is the basis </w:t>
      </w:r>
      <w:r w:rsidR="0023747A" w:rsidRPr="00B55CD8">
        <w:rPr>
          <w:rFonts w:asciiTheme="majorBidi" w:eastAsia="Times New Roman" w:hAnsiTheme="majorBidi" w:cstheme="majorBidi"/>
        </w:rPr>
        <w:t>for</w:t>
      </w:r>
      <w:r w:rsidRPr="00B55CD8">
        <w:rPr>
          <w:rFonts w:asciiTheme="majorBidi" w:eastAsia="Times New Roman" w:hAnsiTheme="majorBidi" w:cstheme="majorBidi"/>
        </w:rPr>
        <w:t xml:space="preserve"> the Paris Agreement, a treaty </w:t>
      </w:r>
      <w:r w:rsidR="00CA11DC" w:rsidRPr="00B55CD8">
        <w:rPr>
          <w:rFonts w:asciiTheme="majorBidi" w:eastAsia="Times New Roman" w:hAnsiTheme="majorBidi" w:cstheme="majorBidi"/>
        </w:rPr>
        <w:t>adopted in December</w:t>
      </w:r>
      <w:r w:rsidR="0023747A" w:rsidRPr="00B55CD8">
        <w:rPr>
          <w:rFonts w:asciiTheme="majorBidi" w:eastAsia="Times New Roman" w:hAnsiTheme="majorBidi" w:cstheme="majorBidi"/>
        </w:rPr>
        <w:t xml:space="preserve"> 2015 by </w:t>
      </w:r>
      <w:r w:rsidRPr="00B55CD8">
        <w:rPr>
          <w:rFonts w:asciiTheme="majorBidi" w:eastAsia="Times New Roman" w:hAnsiTheme="majorBidi" w:cstheme="majorBidi"/>
        </w:rPr>
        <w:t xml:space="preserve">197 United Nations countries pledging to fight climate change. </w:t>
      </w:r>
      <w:r w:rsidR="0023747A" w:rsidRPr="00B55CD8">
        <w:rPr>
          <w:rFonts w:asciiTheme="majorBidi" w:eastAsia="Times New Roman" w:hAnsiTheme="majorBidi" w:cstheme="majorBidi"/>
        </w:rPr>
        <w:t xml:space="preserve">Each </w:t>
      </w:r>
      <w:r w:rsidR="00CA11DC" w:rsidRPr="00B55CD8">
        <w:rPr>
          <w:rFonts w:asciiTheme="majorBidi" w:eastAsia="Times New Roman" w:hAnsiTheme="majorBidi" w:cstheme="majorBidi"/>
        </w:rPr>
        <w:t xml:space="preserve">party </w:t>
      </w:r>
      <w:r w:rsidR="0023747A" w:rsidRPr="00B55CD8">
        <w:rPr>
          <w:rFonts w:asciiTheme="majorBidi" w:eastAsia="Times New Roman" w:hAnsiTheme="majorBidi" w:cstheme="majorBidi"/>
        </w:rPr>
        <w:t>submitted</w:t>
      </w:r>
      <w:r w:rsidRPr="00B55CD8">
        <w:rPr>
          <w:rFonts w:asciiTheme="majorBidi" w:eastAsia="Times New Roman" w:hAnsiTheme="majorBidi" w:cstheme="majorBidi"/>
        </w:rPr>
        <w:t xml:space="preserve"> emission reduction goals in In</w:t>
      </w:r>
      <w:r w:rsidR="001473F2">
        <w:rPr>
          <w:rFonts w:asciiTheme="majorBidi" w:eastAsia="Times New Roman" w:hAnsiTheme="majorBidi" w:cstheme="majorBidi"/>
        </w:rPr>
        <w:t>tended</w:t>
      </w:r>
      <w:r w:rsidRPr="00B55CD8">
        <w:rPr>
          <w:rFonts w:asciiTheme="majorBidi" w:eastAsia="Times New Roman" w:hAnsiTheme="majorBidi" w:cstheme="majorBidi"/>
        </w:rPr>
        <w:t xml:space="preserve"> Nationally Determined Contribution</w:t>
      </w:r>
      <w:r w:rsidR="002F10A9">
        <w:rPr>
          <w:rFonts w:asciiTheme="majorBidi" w:eastAsia="Times New Roman" w:hAnsiTheme="majorBidi" w:cstheme="majorBidi"/>
        </w:rPr>
        <w:t>s</w:t>
      </w:r>
      <w:r w:rsidR="004E4501">
        <w:rPr>
          <w:rFonts w:asciiTheme="majorBidi" w:eastAsia="Times New Roman" w:hAnsiTheme="majorBidi" w:cstheme="majorBidi"/>
        </w:rPr>
        <w:t xml:space="preserve"> (INDCs)</w:t>
      </w:r>
      <w:r w:rsidR="002F10A9">
        <w:rPr>
          <w:rFonts w:asciiTheme="majorBidi" w:eastAsia="Times New Roman" w:hAnsiTheme="majorBidi" w:cstheme="majorBidi"/>
        </w:rPr>
        <w:t xml:space="preserve"> before </w:t>
      </w:r>
      <w:r w:rsidRPr="00B55CD8">
        <w:rPr>
          <w:rFonts w:asciiTheme="majorBidi" w:eastAsia="Times New Roman" w:hAnsiTheme="majorBidi" w:cstheme="majorBidi"/>
        </w:rPr>
        <w:t>and Nationally Determined Contributions</w:t>
      </w:r>
      <w:r w:rsidR="004E4501">
        <w:rPr>
          <w:rFonts w:asciiTheme="majorBidi" w:eastAsia="Times New Roman" w:hAnsiTheme="majorBidi" w:cstheme="majorBidi"/>
        </w:rPr>
        <w:t xml:space="preserve"> (NDCs)</w:t>
      </w:r>
      <w:r w:rsidRPr="00B55CD8">
        <w:rPr>
          <w:rFonts w:asciiTheme="majorBidi" w:eastAsia="Times New Roman" w:hAnsiTheme="majorBidi" w:cstheme="majorBidi"/>
        </w:rPr>
        <w:t xml:space="preserve"> </w:t>
      </w:r>
      <w:r w:rsidR="00371672">
        <w:rPr>
          <w:rFonts w:asciiTheme="majorBidi" w:eastAsia="Times New Roman" w:hAnsiTheme="majorBidi" w:cstheme="majorBidi"/>
        </w:rPr>
        <w:t>after its adoption.</w:t>
      </w:r>
    </w:p>
    <w:p w14:paraId="094A3C73" w14:textId="0C2585A0" w:rsidR="0057665E" w:rsidRPr="00B55CD8" w:rsidRDefault="0057665E"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The data </w:t>
      </w:r>
      <w:r w:rsidR="00B55CD8" w:rsidRPr="00B55CD8">
        <w:rPr>
          <w:rFonts w:asciiTheme="majorBidi" w:eastAsia="Times New Roman" w:hAnsiTheme="majorBidi" w:cstheme="majorBidi"/>
        </w:rPr>
        <w:t>for this</w:t>
      </w:r>
      <w:r w:rsidRPr="00B55CD8">
        <w:rPr>
          <w:rFonts w:asciiTheme="majorBidi" w:eastAsia="Times New Roman" w:hAnsiTheme="majorBidi" w:cstheme="majorBidi"/>
        </w:rPr>
        <w:t xml:space="preserve"> project contains historical GHG emissions from all countries and the</w:t>
      </w:r>
      <w:r w:rsidR="007F7910">
        <w:rPr>
          <w:rFonts w:asciiTheme="majorBidi" w:eastAsia="Times New Roman" w:hAnsiTheme="majorBidi" w:cstheme="majorBidi"/>
        </w:rPr>
        <w:t xml:space="preserve"> benchmarks </w:t>
      </w:r>
      <w:r w:rsidR="00CA11DC" w:rsidRPr="00B55CD8">
        <w:rPr>
          <w:rFonts w:asciiTheme="majorBidi" w:eastAsia="Times New Roman" w:hAnsiTheme="majorBidi" w:cstheme="majorBidi"/>
        </w:rPr>
        <w:t>laid out in their INDCs and NDCs</w:t>
      </w:r>
      <w:r w:rsidRPr="00B55CD8">
        <w:rPr>
          <w:rFonts w:asciiTheme="majorBidi" w:eastAsia="Times New Roman" w:hAnsiTheme="majorBidi" w:cstheme="majorBidi"/>
        </w:rPr>
        <w:t xml:space="preserve">. The trajectory of the historical data was extrapolated forward to 2030 to </w:t>
      </w:r>
      <w:r w:rsidR="004E4501">
        <w:rPr>
          <w:rFonts w:asciiTheme="majorBidi" w:eastAsia="Times New Roman" w:hAnsiTheme="majorBidi" w:cstheme="majorBidi"/>
        </w:rPr>
        <w:t>provide projections of GHG emissions to compare to the goals of the Paris Agreement</w:t>
      </w:r>
      <w:r w:rsidRPr="00B55CD8">
        <w:rPr>
          <w:rFonts w:asciiTheme="majorBidi" w:eastAsia="Times New Roman" w:hAnsiTheme="majorBidi" w:cstheme="majorBidi"/>
        </w:rPr>
        <w:t xml:space="preserve">. The difference will be measured as the </w:t>
      </w:r>
      <w:r w:rsidR="004E4501">
        <w:rPr>
          <w:rFonts w:asciiTheme="majorBidi" w:eastAsia="Times New Roman" w:hAnsiTheme="majorBidi" w:cstheme="majorBidi"/>
        </w:rPr>
        <w:t>e</w:t>
      </w:r>
      <w:r w:rsidRPr="00B55CD8">
        <w:rPr>
          <w:rFonts w:asciiTheme="majorBidi" w:eastAsia="Times New Roman" w:hAnsiTheme="majorBidi" w:cstheme="majorBidi"/>
        </w:rPr>
        <w:t xml:space="preserve">missions </w:t>
      </w:r>
      <w:r w:rsidR="004E4501">
        <w:rPr>
          <w:rFonts w:asciiTheme="majorBidi" w:eastAsia="Times New Roman" w:hAnsiTheme="majorBidi" w:cstheme="majorBidi"/>
        </w:rPr>
        <w:t>g</w:t>
      </w:r>
      <w:r w:rsidRPr="00B55CD8">
        <w:rPr>
          <w:rFonts w:asciiTheme="majorBidi" w:eastAsia="Times New Roman" w:hAnsiTheme="majorBidi" w:cstheme="majorBidi"/>
        </w:rPr>
        <w:t xml:space="preserve">ap. The analysis conducted with this data focused on historical global greenhouse gas emissions and identifying the largest contributors to greenhouse gas emissions, both historically and currently. The </w:t>
      </w:r>
      <w:r w:rsidR="004E4501">
        <w:rPr>
          <w:rFonts w:asciiTheme="majorBidi" w:eastAsia="Times New Roman" w:hAnsiTheme="majorBidi" w:cstheme="majorBidi"/>
        </w:rPr>
        <w:t>countries of focus</w:t>
      </w:r>
      <w:r w:rsidRPr="00B55CD8">
        <w:rPr>
          <w:rFonts w:asciiTheme="majorBidi" w:eastAsia="Times New Roman" w:hAnsiTheme="majorBidi" w:cstheme="majorBidi"/>
        </w:rPr>
        <w:t xml:space="preserve"> were identified based on their behavior as top emitters in 2015.</w:t>
      </w:r>
      <w:r w:rsidR="004E4501">
        <w:rPr>
          <w:rFonts w:asciiTheme="majorBidi" w:eastAsia="Times New Roman" w:hAnsiTheme="majorBidi" w:cstheme="majorBidi"/>
        </w:rPr>
        <w:t xml:space="preserve"> The top 10 emitters in 2015 will be a primary focus of this analysis.</w:t>
      </w:r>
    </w:p>
    <w:p w14:paraId="01E4465A" w14:textId="4D019C7D" w:rsidR="0057665E" w:rsidRPr="00B55CD8" w:rsidRDefault="0057665E" w:rsidP="0018493C">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BACKGROUND</w:t>
      </w:r>
      <w:r w:rsidR="008849BD" w:rsidRPr="00B55CD8">
        <w:rPr>
          <w:rFonts w:asciiTheme="majorBidi" w:eastAsia="Times New Roman" w:hAnsiTheme="majorBidi" w:cstheme="majorBidi"/>
        </w:rPr>
        <w:t xml:space="preserve"> &amp; THEORY</w:t>
      </w:r>
      <w:r w:rsidR="00E05EDD" w:rsidRPr="00B55CD8">
        <w:rPr>
          <w:rFonts w:asciiTheme="majorBidi" w:eastAsia="Times New Roman" w:hAnsiTheme="majorBidi" w:cstheme="majorBidi"/>
        </w:rPr>
        <w:t xml:space="preserve"> </w:t>
      </w:r>
    </w:p>
    <w:p w14:paraId="6244336F" w14:textId="1DD9F81D" w:rsidR="0057665E" w:rsidRPr="00B55CD8" w:rsidRDefault="0057665E" w:rsidP="00F11D79">
      <w:pPr>
        <w:spacing w:after="240" w:line="240" w:lineRule="auto"/>
        <w:rPr>
          <w:rFonts w:asciiTheme="majorBidi" w:eastAsia="Times New Roman" w:hAnsiTheme="majorBidi" w:cstheme="majorBidi"/>
        </w:rPr>
      </w:pPr>
      <w:proofErr w:type="gramStart"/>
      <w:r w:rsidRPr="00B55CD8">
        <w:rPr>
          <w:rFonts w:asciiTheme="majorBidi" w:eastAsia="Times New Roman" w:hAnsiTheme="majorBidi" w:cstheme="majorBidi"/>
        </w:rPr>
        <w:t>Paris</w:t>
      </w:r>
      <w:proofErr w:type="gramEnd"/>
      <w:r w:rsidRPr="00B55CD8">
        <w:rPr>
          <w:rFonts w:asciiTheme="majorBidi" w:eastAsia="Times New Roman" w:hAnsiTheme="majorBidi" w:cstheme="majorBidi"/>
        </w:rPr>
        <w:t xml:space="preserve"> Agreement</w:t>
      </w:r>
      <w:r w:rsidR="00C03520" w:rsidRPr="00B55CD8">
        <w:rPr>
          <w:rFonts w:asciiTheme="majorBidi" w:eastAsia="Times New Roman" w:hAnsiTheme="majorBidi" w:cstheme="majorBidi"/>
        </w:rPr>
        <w:t xml:space="preserve"> </w:t>
      </w:r>
      <w:r w:rsidR="00ED371C" w:rsidRPr="00B55CD8">
        <w:rPr>
          <w:rFonts w:asciiTheme="majorBidi" w:eastAsia="Times New Roman" w:hAnsiTheme="majorBidi" w:cstheme="majorBidi"/>
        </w:rPr>
        <w:t>signatories</w:t>
      </w:r>
      <w:r w:rsidR="00C03520" w:rsidRPr="00B55CD8">
        <w:rPr>
          <w:rFonts w:asciiTheme="majorBidi" w:eastAsia="Times New Roman" w:hAnsiTheme="majorBidi" w:cstheme="majorBidi"/>
        </w:rPr>
        <w:t xml:space="preserve"> </w:t>
      </w:r>
      <w:r w:rsidR="009544F1">
        <w:rPr>
          <w:rFonts w:asciiTheme="majorBidi" w:eastAsia="Times New Roman" w:hAnsiTheme="majorBidi" w:cstheme="majorBidi"/>
        </w:rPr>
        <w:t>ha</w:t>
      </w:r>
      <w:r w:rsidRPr="00B55CD8">
        <w:rPr>
          <w:rFonts w:asciiTheme="majorBidi" w:eastAsia="Times New Roman" w:hAnsiTheme="majorBidi" w:cstheme="majorBidi"/>
        </w:rPr>
        <w:t xml:space="preserve">d to submit plans for how </w:t>
      </w:r>
      <w:r w:rsidR="00373321">
        <w:rPr>
          <w:rFonts w:asciiTheme="majorBidi" w:eastAsia="Times New Roman" w:hAnsiTheme="majorBidi" w:cstheme="majorBidi"/>
        </w:rPr>
        <w:t xml:space="preserve">and by how much </w:t>
      </w:r>
      <w:r w:rsidRPr="00B55CD8">
        <w:rPr>
          <w:rFonts w:asciiTheme="majorBidi" w:eastAsia="Times New Roman" w:hAnsiTheme="majorBidi" w:cstheme="majorBidi"/>
        </w:rPr>
        <w:t xml:space="preserve">they would lower their GHG emissions through 2020, 2030, and 2050. Such </w:t>
      </w:r>
      <w:proofErr w:type="gramStart"/>
      <w:r w:rsidR="0018493C" w:rsidRPr="00B55CD8">
        <w:rPr>
          <w:rFonts w:asciiTheme="majorBidi" w:eastAsia="Times New Roman" w:hAnsiTheme="majorBidi" w:cstheme="majorBidi"/>
        </w:rPr>
        <w:t>plans</w:t>
      </w:r>
      <w:r w:rsidR="0018493C">
        <w:rPr>
          <w:rFonts w:asciiTheme="majorBidi" w:eastAsia="Times New Roman" w:hAnsiTheme="majorBidi" w:cstheme="majorBidi"/>
        </w:rPr>
        <w:t>,</w:t>
      </w:r>
      <w:r w:rsidR="0018493C" w:rsidRPr="00B55CD8">
        <w:rPr>
          <w:rFonts w:asciiTheme="majorBidi" w:eastAsia="Times New Roman" w:hAnsiTheme="majorBidi" w:cstheme="majorBidi"/>
        </w:rPr>
        <w:t xml:space="preserve"> or</w:t>
      </w:r>
      <w:proofErr w:type="gramEnd"/>
      <w:r w:rsidR="0018493C">
        <w:rPr>
          <w:rFonts w:asciiTheme="majorBidi" w:eastAsia="Times New Roman" w:hAnsiTheme="majorBidi" w:cstheme="majorBidi"/>
        </w:rPr>
        <w:t xml:space="preserve"> </w:t>
      </w:r>
      <w:r w:rsidR="00384635" w:rsidRPr="00B55CD8">
        <w:rPr>
          <w:rFonts w:asciiTheme="majorBidi" w:eastAsia="Times New Roman" w:hAnsiTheme="majorBidi" w:cstheme="majorBidi"/>
        </w:rPr>
        <w:t>Inten</w:t>
      </w:r>
      <w:r w:rsidR="001473F2">
        <w:rPr>
          <w:rFonts w:asciiTheme="majorBidi" w:eastAsia="Times New Roman" w:hAnsiTheme="majorBidi" w:cstheme="majorBidi"/>
        </w:rPr>
        <w:t>ded</w:t>
      </w:r>
      <w:r w:rsidR="00384635" w:rsidRPr="00B55CD8">
        <w:rPr>
          <w:rFonts w:asciiTheme="majorBidi" w:eastAsia="Times New Roman" w:hAnsiTheme="majorBidi" w:cstheme="majorBidi"/>
        </w:rPr>
        <w:t xml:space="preserve"> Nationally Determined Contributions (INDCs) and</w:t>
      </w:r>
      <w:r w:rsidRPr="00B55CD8">
        <w:rPr>
          <w:rFonts w:asciiTheme="majorBidi" w:eastAsia="Times New Roman" w:hAnsiTheme="majorBidi" w:cstheme="majorBidi"/>
        </w:rPr>
        <w:t xml:space="preserve"> Nationally Determined Contributions (NDCs</w:t>
      </w:r>
      <w:r w:rsidR="00ED371C" w:rsidRPr="00B55CD8">
        <w:rPr>
          <w:rFonts w:asciiTheme="majorBidi" w:eastAsia="Times New Roman" w:hAnsiTheme="majorBidi" w:cstheme="majorBidi"/>
        </w:rPr>
        <w:t>) for pre- and post-Agreement plans</w:t>
      </w:r>
      <w:r w:rsidR="007F7910">
        <w:rPr>
          <w:rFonts w:asciiTheme="majorBidi" w:eastAsia="Times New Roman" w:hAnsiTheme="majorBidi" w:cstheme="majorBidi"/>
        </w:rPr>
        <w:t>,</w:t>
      </w:r>
      <w:r w:rsidR="00ED371C" w:rsidRPr="00B55CD8">
        <w:rPr>
          <w:rFonts w:asciiTheme="majorBidi" w:eastAsia="Times New Roman" w:hAnsiTheme="majorBidi" w:cstheme="majorBidi"/>
        </w:rPr>
        <w:t xml:space="preserve"> </w:t>
      </w:r>
      <w:r w:rsidR="00384635" w:rsidRPr="00B55CD8">
        <w:rPr>
          <w:rFonts w:asciiTheme="majorBidi" w:eastAsia="Times New Roman" w:hAnsiTheme="majorBidi" w:cstheme="majorBidi"/>
        </w:rPr>
        <w:t>respectively,</w:t>
      </w:r>
      <w:r w:rsidRPr="00B55CD8">
        <w:rPr>
          <w:rFonts w:asciiTheme="majorBidi" w:eastAsia="Times New Roman" w:hAnsiTheme="majorBidi" w:cstheme="majorBidi"/>
        </w:rPr>
        <w:t xml:space="preserve"> would be reviewed and revised at each benchmark based on the nations</w:t>
      </w:r>
      <w:r w:rsidR="002712FF">
        <w:rPr>
          <w:rFonts w:asciiTheme="majorBidi" w:eastAsia="Times New Roman" w:hAnsiTheme="majorBidi" w:cstheme="majorBidi"/>
        </w:rPr>
        <w:t>'</w:t>
      </w:r>
      <w:r w:rsidRPr="00B55CD8">
        <w:rPr>
          <w:rFonts w:asciiTheme="majorBidi" w:eastAsia="Times New Roman" w:hAnsiTheme="majorBidi" w:cstheme="majorBidi"/>
        </w:rPr>
        <w:t xml:space="preserve"> achievements toward their GHG target. In a ramp</w:t>
      </w:r>
      <w:r w:rsidR="00CA11DC" w:rsidRPr="00B55CD8">
        <w:rPr>
          <w:rFonts w:asciiTheme="majorBidi" w:eastAsia="Times New Roman" w:hAnsiTheme="majorBidi" w:cstheme="majorBidi"/>
        </w:rPr>
        <w:t>-</w:t>
      </w:r>
      <w:r w:rsidRPr="00B55CD8">
        <w:rPr>
          <w:rFonts w:asciiTheme="majorBidi" w:eastAsia="Times New Roman" w:hAnsiTheme="majorBidi" w:cstheme="majorBidi"/>
        </w:rPr>
        <w:t xml:space="preserve">up style, </w:t>
      </w:r>
      <w:r w:rsidR="00D30E32">
        <w:rPr>
          <w:rFonts w:asciiTheme="majorBidi" w:eastAsia="Times New Roman" w:hAnsiTheme="majorBidi" w:cstheme="majorBidi"/>
        </w:rPr>
        <w:t>the Agreement</w:t>
      </w:r>
      <w:r w:rsidR="00373321">
        <w:rPr>
          <w:rFonts w:asciiTheme="majorBidi" w:eastAsia="Times New Roman" w:hAnsiTheme="majorBidi" w:cstheme="majorBidi"/>
        </w:rPr>
        <w:t xml:space="preserve"> require</w:t>
      </w:r>
      <w:r w:rsidR="00D30E32">
        <w:rPr>
          <w:rFonts w:asciiTheme="majorBidi" w:eastAsia="Times New Roman" w:hAnsiTheme="majorBidi" w:cstheme="majorBidi"/>
        </w:rPr>
        <w:t>s</w:t>
      </w:r>
      <w:r w:rsidR="00373321">
        <w:rPr>
          <w:rFonts w:asciiTheme="majorBidi" w:eastAsia="Times New Roman" w:hAnsiTheme="majorBidi" w:cstheme="majorBidi"/>
        </w:rPr>
        <w:t xml:space="preserve"> countries</w:t>
      </w:r>
      <w:r w:rsidRPr="00B55CD8">
        <w:rPr>
          <w:rFonts w:asciiTheme="majorBidi" w:eastAsia="Times New Roman" w:hAnsiTheme="majorBidi" w:cstheme="majorBidi"/>
        </w:rPr>
        <w:t xml:space="preserve"> to recommit </w:t>
      </w:r>
      <w:r w:rsidR="00D30E32">
        <w:rPr>
          <w:rFonts w:asciiTheme="majorBidi" w:eastAsia="Times New Roman" w:hAnsiTheme="majorBidi" w:cstheme="majorBidi"/>
        </w:rPr>
        <w:t>to</w:t>
      </w:r>
      <w:r w:rsidRPr="00B55CD8">
        <w:rPr>
          <w:rFonts w:asciiTheme="majorBidi" w:eastAsia="Times New Roman" w:hAnsiTheme="majorBidi" w:cstheme="majorBidi"/>
        </w:rPr>
        <w:t xml:space="preserve"> more aggressive plans with each consecutive iteration. While NDCs include more than just GHG emission reduction targets, they will be the focus of this pro</w:t>
      </w:r>
      <w:r w:rsidR="007F7910">
        <w:rPr>
          <w:rFonts w:asciiTheme="majorBidi" w:eastAsia="Times New Roman" w:hAnsiTheme="majorBidi" w:cstheme="majorBidi"/>
        </w:rPr>
        <w:t>j</w:t>
      </w:r>
      <w:r w:rsidRPr="00B55CD8">
        <w:rPr>
          <w:rFonts w:asciiTheme="majorBidi" w:eastAsia="Times New Roman" w:hAnsiTheme="majorBidi" w:cstheme="majorBidi"/>
        </w:rPr>
        <w:t xml:space="preserve">ect. </w:t>
      </w:r>
    </w:p>
    <w:p w14:paraId="2DD94FB8" w14:textId="7A9A64E5" w:rsidR="00E05EDD" w:rsidRPr="00B55CD8" w:rsidRDefault="00DA35E1"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It is understood that annual GHG emissions have accelerated exponentially across the globe since the pre-industrial period (often considered by scientists to be 1850 – 1900). In 1992</w:t>
      </w:r>
      <w:r w:rsidR="007F7910">
        <w:rPr>
          <w:rFonts w:asciiTheme="majorBidi" w:eastAsia="Times New Roman" w:hAnsiTheme="majorBidi" w:cstheme="majorBidi"/>
        </w:rPr>
        <w:t>,</w:t>
      </w:r>
      <w:r w:rsidRPr="00B55CD8">
        <w:rPr>
          <w:rFonts w:asciiTheme="majorBidi" w:eastAsia="Times New Roman" w:hAnsiTheme="majorBidi" w:cstheme="majorBidi"/>
        </w:rPr>
        <w:t xml:space="preserve"> the United Nations drafted its Framework Convention on Climate Change (UNFCCC) to devise an agreement to limit the increase in GHGs in the atmosphere. </w:t>
      </w:r>
      <w:r w:rsidR="004D0A4C" w:rsidRPr="00B55CD8">
        <w:rPr>
          <w:rFonts w:asciiTheme="majorBidi" w:eastAsia="Times New Roman" w:hAnsiTheme="majorBidi" w:cstheme="majorBidi"/>
        </w:rPr>
        <w:t xml:space="preserve">This was built upon by the Kyoto Protocol, adopted in 1997, which was </w:t>
      </w:r>
      <w:r w:rsidR="00CE03AE">
        <w:rPr>
          <w:rFonts w:asciiTheme="majorBidi" w:eastAsia="Times New Roman" w:hAnsiTheme="majorBidi" w:cstheme="majorBidi"/>
        </w:rPr>
        <w:t>later</w:t>
      </w:r>
      <w:r w:rsidR="004D0A4C" w:rsidRPr="00B55CD8">
        <w:rPr>
          <w:rFonts w:asciiTheme="majorBidi" w:eastAsia="Times New Roman" w:hAnsiTheme="majorBidi" w:cstheme="majorBidi"/>
        </w:rPr>
        <w:t xml:space="preserve"> superseded by the Paris Agreement in 2015. Each </w:t>
      </w:r>
      <w:r w:rsidR="00E05EDD" w:rsidRPr="00B55CD8">
        <w:rPr>
          <w:rFonts w:asciiTheme="majorBidi" w:eastAsia="Times New Roman" w:hAnsiTheme="majorBidi" w:cstheme="majorBidi"/>
        </w:rPr>
        <w:t xml:space="preserve">successive </w:t>
      </w:r>
      <w:r w:rsidR="004D0A4C" w:rsidRPr="00B55CD8">
        <w:rPr>
          <w:rFonts w:asciiTheme="majorBidi" w:eastAsia="Times New Roman" w:hAnsiTheme="majorBidi" w:cstheme="majorBidi"/>
        </w:rPr>
        <w:t xml:space="preserve">treaty </w:t>
      </w:r>
      <w:r w:rsidR="00D30E32">
        <w:rPr>
          <w:rFonts w:asciiTheme="majorBidi" w:eastAsia="Times New Roman" w:hAnsiTheme="majorBidi" w:cstheme="majorBidi"/>
        </w:rPr>
        <w:t>was</w:t>
      </w:r>
      <w:r w:rsidR="004D0A4C" w:rsidRPr="00B55CD8">
        <w:rPr>
          <w:rFonts w:asciiTheme="majorBidi" w:eastAsia="Times New Roman" w:hAnsiTheme="majorBidi" w:cstheme="majorBidi"/>
        </w:rPr>
        <w:t xml:space="preserve"> more aggressive and urgent in its goals. </w:t>
      </w:r>
      <w:r w:rsidR="00D30E32">
        <w:rPr>
          <w:rFonts w:asciiTheme="majorBidi" w:eastAsia="Times New Roman" w:hAnsiTheme="majorBidi" w:cstheme="majorBidi"/>
        </w:rPr>
        <w:t>However, we continued to see rising atmospheric GHG concentrations and greater yearly emissions during that time</w:t>
      </w:r>
      <w:r w:rsidR="004D0A4C" w:rsidRPr="00B55CD8">
        <w:rPr>
          <w:rFonts w:asciiTheme="majorBidi" w:eastAsia="Times New Roman" w:hAnsiTheme="majorBidi" w:cstheme="majorBidi"/>
        </w:rPr>
        <w:t>. We also saw accelerat</w:t>
      </w:r>
      <w:r w:rsidR="007F7910">
        <w:rPr>
          <w:rFonts w:asciiTheme="majorBidi" w:eastAsia="Times New Roman" w:hAnsiTheme="majorBidi" w:cstheme="majorBidi"/>
        </w:rPr>
        <w:t>ed</w:t>
      </w:r>
      <w:r w:rsidR="004D0A4C" w:rsidRPr="00B55CD8">
        <w:rPr>
          <w:rFonts w:asciiTheme="majorBidi" w:eastAsia="Times New Roman" w:hAnsiTheme="majorBidi" w:cstheme="majorBidi"/>
        </w:rPr>
        <w:t xml:space="preserve"> effects of climate change.</w:t>
      </w:r>
      <w:r w:rsidR="00452C18" w:rsidRPr="00B55CD8">
        <w:rPr>
          <w:rFonts w:asciiTheme="majorBidi" w:eastAsia="Times New Roman" w:hAnsiTheme="majorBidi" w:cstheme="majorBidi"/>
        </w:rPr>
        <w:t xml:space="preserve"> So far, n</w:t>
      </w:r>
      <w:r w:rsidR="004D0A4C" w:rsidRPr="00B55CD8">
        <w:rPr>
          <w:rFonts w:asciiTheme="majorBidi" w:eastAsia="Times New Roman" w:hAnsiTheme="majorBidi" w:cstheme="majorBidi"/>
        </w:rPr>
        <w:t xml:space="preserve">o treaty has </w:t>
      </w:r>
      <w:r w:rsidR="00373321">
        <w:rPr>
          <w:rFonts w:asciiTheme="majorBidi" w:eastAsia="Times New Roman" w:hAnsiTheme="majorBidi" w:cstheme="majorBidi"/>
        </w:rPr>
        <w:t>had much success</w:t>
      </w:r>
      <w:r w:rsidR="00E05EDD" w:rsidRPr="00B55CD8">
        <w:rPr>
          <w:rFonts w:asciiTheme="majorBidi" w:eastAsia="Times New Roman" w:hAnsiTheme="majorBidi" w:cstheme="majorBidi"/>
        </w:rPr>
        <w:t xml:space="preserve"> in its attempt to curb the </w:t>
      </w:r>
      <w:r w:rsidR="002712FF">
        <w:rPr>
          <w:rFonts w:asciiTheme="majorBidi" w:eastAsia="Times New Roman" w:hAnsiTheme="majorBidi" w:cstheme="majorBidi"/>
        </w:rPr>
        <w:t>impacts</w:t>
      </w:r>
      <w:r w:rsidR="00E05EDD" w:rsidRPr="00B55CD8">
        <w:rPr>
          <w:rFonts w:asciiTheme="majorBidi" w:eastAsia="Times New Roman" w:hAnsiTheme="majorBidi" w:cstheme="majorBidi"/>
        </w:rPr>
        <w:t xml:space="preserve"> of climate chang</w:t>
      </w:r>
      <w:r w:rsidR="00452C18" w:rsidRPr="00B55CD8">
        <w:rPr>
          <w:rFonts w:asciiTheme="majorBidi" w:eastAsia="Times New Roman" w:hAnsiTheme="majorBidi" w:cstheme="majorBidi"/>
        </w:rPr>
        <w:t>e</w:t>
      </w:r>
      <w:r w:rsidR="00E05EDD" w:rsidRPr="00B55CD8">
        <w:rPr>
          <w:rFonts w:asciiTheme="majorBidi" w:eastAsia="Times New Roman" w:hAnsiTheme="majorBidi" w:cstheme="majorBidi"/>
        </w:rPr>
        <w:t>.</w:t>
      </w:r>
    </w:p>
    <w:p w14:paraId="31AC18B9" w14:textId="2E0BA2A9" w:rsidR="0057665E" w:rsidRPr="00B55CD8" w:rsidRDefault="00F05799" w:rsidP="00F11D79">
      <w:pPr>
        <w:spacing w:after="240" w:line="240" w:lineRule="auto"/>
        <w:rPr>
          <w:rFonts w:asciiTheme="majorBidi" w:eastAsia="Times New Roman" w:hAnsiTheme="majorBidi" w:cstheme="majorBidi"/>
        </w:rPr>
      </w:pPr>
      <w:r>
        <w:rPr>
          <w:rFonts w:asciiTheme="majorBidi" w:eastAsia="Times New Roman" w:hAnsiTheme="majorBidi" w:cstheme="majorBidi"/>
        </w:rPr>
        <w:t xml:space="preserve">This project aimed to </w:t>
      </w:r>
      <w:r w:rsidR="00E05EDD" w:rsidRPr="00B55CD8">
        <w:rPr>
          <w:rFonts w:asciiTheme="majorBidi" w:eastAsia="Times New Roman" w:hAnsiTheme="majorBidi" w:cstheme="majorBidi"/>
        </w:rPr>
        <w:t>examine</w:t>
      </w:r>
      <w:r w:rsidR="0057665E" w:rsidRPr="00B55CD8">
        <w:rPr>
          <w:rFonts w:asciiTheme="majorBidi" w:eastAsia="Times New Roman" w:hAnsiTheme="majorBidi" w:cstheme="majorBidi"/>
        </w:rPr>
        <w:t xml:space="preserve"> how well the parties that signed the Paris Agreement are meeting their goals. Based on what they need to</w:t>
      </w:r>
      <w:r w:rsidR="00ED371C" w:rsidRPr="00B55CD8">
        <w:rPr>
          <w:rFonts w:asciiTheme="majorBidi" w:eastAsia="Times New Roman" w:hAnsiTheme="majorBidi" w:cstheme="majorBidi"/>
        </w:rPr>
        <w:t xml:space="preserve"> </w:t>
      </w:r>
      <w:r w:rsidR="0057665E" w:rsidRPr="00B55CD8">
        <w:rPr>
          <w:rFonts w:asciiTheme="majorBidi" w:eastAsia="Times New Roman" w:hAnsiTheme="majorBidi" w:cstheme="majorBidi"/>
        </w:rPr>
        <w:t>reduc</w:t>
      </w:r>
      <w:r w:rsidR="00ED371C" w:rsidRPr="00B55CD8">
        <w:rPr>
          <w:rFonts w:asciiTheme="majorBidi" w:eastAsia="Times New Roman" w:hAnsiTheme="majorBidi" w:cstheme="majorBidi"/>
        </w:rPr>
        <w:t xml:space="preserve">e </w:t>
      </w:r>
      <w:r w:rsidR="0057665E" w:rsidRPr="00B55CD8">
        <w:rPr>
          <w:rFonts w:asciiTheme="majorBidi" w:eastAsia="Times New Roman" w:hAnsiTheme="majorBidi" w:cstheme="majorBidi"/>
        </w:rPr>
        <w:t xml:space="preserve">to by a </w:t>
      </w:r>
      <w:r w:rsidR="002712FF">
        <w:rPr>
          <w:rFonts w:asciiTheme="majorBidi" w:eastAsia="Times New Roman" w:hAnsiTheme="majorBidi" w:cstheme="majorBidi"/>
        </w:rPr>
        <w:t>particular</w:t>
      </w:r>
      <w:r w:rsidR="0057665E" w:rsidRPr="00B55CD8">
        <w:rPr>
          <w:rFonts w:asciiTheme="majorBidi" w:eastAsia="Times New Roman" w:hAnsiTheme="majorBidi" w:cstheme="majorBidi"/>
        </w:rPr>
        <w:t xml:space="preserve"> </w:t>
      </w:r>
      <w:r w:rsidR="00ED371C" w:rsidRPr="00B55CD8">
        <w:rPr>
          <w:rFonts w:asciiTheme="majorBidi" w:eastAsia="Times New Roman" w:hAnsiTheme="majorBidi" w:cstheme="majorBidi"/>
        </w:rPr>
        <w:t>year</w:t>
      </w:r>
      <w:r w:rsidR="0057665E" w:rsidRPr="00B55CD8">
        <w:rPr>
          <w:rFonts w:asciiTheme="majorBidi" w:eastAsia="Times New Roman" w:hAnsiTheme="majorBidi" w:cstheme="majorBidi"/>
        </w:rPr>
        <w:t xml:space="preserve"> and where they are now, are they on track to limit warming? Which countries have the greatest impacts – whether they achieve or fail – on the global limit goal? </w:t>
      </w:r>
    </w:p>
    <w:p w14:paraId="48A95474" w14:textId="0F3EAFF6" w:rsidR="0057665E" w:rsidRPr="00B55CD8" w:rsidRDefault="0057665E" w:rsidP="0018493C">
      <w:pPr>
        <w:tabs>
          <w:tab w:val="center" w:pos="4680"/>
        </w:tabs>
        <w:spacing w:after="120" w:line="240" w:lineRule="auto"/>
        <w:rPr>
          <w:rFonts w:asciiTheme="majorBidi" w:eastAsia="Times New Roman" w:hAnsiTheme="majorBidi" w:cstheme="majorBidi"/>
        </w:rPr>
      </w:pPr>
      <w:r w:rsidRPr="00B55CD8">
        <w:rPr>
          <w:rFonts w:asciiTheme="majorBidi" w:eastAsia="Times New Roman" w:hAnsiTheme="majorBidi" w:cstheme="majorBidi"/>
        </w:rPr>
        <w:t>HYPOTHESIS</w:t>
      </w:r>
    </w:p>
    <w:p w14:paraId="05A59BCB" w14:textId="4DA438D4" w:rsidR="0057665E" w:rsidRPr="00B55CD8" w:rsidRDefault="004E4501" w:rsidP="00F11D79">
      <w:pPr>
        <w:spacing w:after="240" w:line="240" w:lineRule="auto"/>
        <w:rPr>
          <w:rFonts w:asciiTheme="majorBidi" w:eastAsia="Times New Roman" w:hAnsiTheme="majorBidi" w:cstheme="majorBidi"/>
        </w:rPr>
      </w:pPr>
      <w:r>
        <w:rPr>
          <w:rFonts w:asciiTheme="majorBidi" w:eastAsia="Times New Roman" w:hAnsiTheme="majorBidi" w:cstheme="majorBidi"/>
        </w:rPr>
        <w:t>Despite having</w:t>
      </w:r>
      <w:r w:rsidR="0057665E" w:rsidRPr="00B55CD8">
        <w:rPr>
          <w:rFonts w:asciiTheme="majorBidi" w:eastAsia="Times New Roman" w:hAnsiTheme="majorBidi" w:cstheme="majorBidi"/>
        </w:rPr>
        <w:t xml:space="preserve"> lower </w:t>
      </w:r>
      <w:r>
        <w:rPr>
          <w:rFonts w:asciiTheme="majorBidi" w:eastAsia="Times New Roman" w:hAnsiTheme="majorBidi" w:cstheme="majorBidi"/>
        </w:rPr>
        <w:t xml:space="preserve">emissions </w:t>
      </w:r>
      <w:r w:rsidR="0057665E" w:rsidRPr="00B55CD8">
        <w:rPr>
          <w:rFonts w:asciiTheme="majorBidi" w:eastAsia="Times New Roman" w:hAnsiTheme="majorBidi" w:cstheme="majorBidi"/>
        </w:rPr>
        <w:t xml:space="preserve">than </w:t>
      </w:r>
      <w:r>
        <w:rPr>
          <w:rFonts w:asciiTheme="majorBidi" w:eastAsia="Times New Roman" w:hAnsiTheme="majorBidi" w:cstheme="majorBidi"/>
        </w:rPr>
        <w:t xml:space="preserve">those on </w:t>
      </w:r>
      <w:r w:rsidR="0057665E" w:rsidRPr="00B55CD8">
        <w:rPr>
          <w:rFonts w:asciiTheme="majorBidi" w:eastAsia="Times New Roman" w:hAnsiTheme="majorBidi" w:cstheme="majorBidi"/>
        </w:rPr>
        <w:t>the</w:t>
      </w:r>
      <w:r w:rsidR="00ED371C" w:rsidRPr="00B55CD8">
        <w:rPr>
          <w:rFonts w:asciiTheme="majorBidi" w:eastAsia="Times New Roman" w:hAnsiTheme="majorBidi" w:cstheme="majorBidi"/>
        </w:rPr>
        <w:t>ir</w:t>
      </w:r>
      <w:r w:rsidR="00E05EDD" w:rsidRPr="00B55CD8">
        <w:rPr>
          <w:rFonts w:asciiTheme="majorBidi" w:eastAsia="Times New Roman" w:hAnsiTheme="majorBidi" w:cstheme="majorBidi"/>
        </w:rPr>
        <w:t xml:space="preserve"> pre-2016 </w:t>
      </w:r>
      <w:r w:rsidR="0057665E" w:rsidRPr="00B55CD8">
        <w:rPr>
          <w:rFonts w:asciiTheme="majorBidi" w:eastAsia="Times New Roman" w:hAnsiTheme="majorBidi" w:cstheme="majorBidi"/>
        </w:rPr>
        <w:t>business</w:t>
      </w:r>
      <w:r w:rsidR="00452C18" w:rsidRPr="00B55CD8">
        <w:rPr>
          <w:rFonts w:asciiTheme="majorBidi" w:eastAsia="Times New Roman" w:hAnsiTheme="majorBidi" w:cstheme="majorBidi"/>
        </w:rPr>
        <w:t>-</w:t>
      </w:r>
      <w:r w:rsidR="0057665E" w:rsidRPr="00B55CD8">
        <w:rPr>
          <w:rFonts w:asciiTheme="majorBidi" w:eastAsia="Times New Roman" w:hAnsiTheme="majorBidi" w:cstheme="majorBidi"/>
        </w:rPr>
        <w:t>as</w:t>
      </w:r>
      <w:r w:rsidR="00452C18" w:rsidRPr="00B55CD8">
        <w:rPr>
          <w:rFonts w:asciiTheme="majorBidi" w:eastAsia="Times New Roman" w:hAnsiTheme="majorBidi" w:cstheme="majorBidi"/>
        </w:rPr>
        <w:t>-</w:t>
      </w:r>
      <w:r w:rsidR="0057665E" w:rsidRPr="00B55CD8">
        <w:rPr>
          <w:rFonts w:asciiTheme="majorBidi" w:eastAsia="Times New Roman" w:hAnsiTheme="majorBidi" w:cstheme="majorBidi"/>
        </w:rPr>
        <w:t xml:space="preserve">usual (BAU) </w:t>
      </w:r>
      <w:r w:rsidR="00E05EDD" w:rsidRPr="00B55CD8">
        <w:rPr>
          <w:rFonts w:asciiTheme="majorBidi" w:eastAsia="Times New Roman" w:hAnsiTheme="majorBidi" w:cstheme="majorBidi"/>
        </w:rPr>
        <w:t>trajectories</w:t>
      </w:r>
      <w:r w:rsidR="0057665E" w:rsidRPr="00B55CD8">
        <w:rPr>
          <w:rFonts w:asciiTheme="majorBidi" w:eastAsia="Times New Roman" w:hAnsiTheme="majorBidi" w:cstheme="majorBidi"/>
        </w:rPr>
        <w:t>,</w:t>
      </w:r>
      <w:r w:rsidR="00E05EDD" w:rsidRPr="00B55CD8">
        <w:rPr>
          <w:rFonts w:asciiTheme="majorBidi" w:eastAsia="Times New Roman" w:hAnsiTheme="majorBidi" w:cstheme="majorBidi"/>
        </w:rPr>
        <w:t xml:space="preserve"> I expect</w:t>
      </w:r>
      <w:r w:rsidR="0057665E" w:rsidRPr="00B55CD8">
        <w:rPr>
          <w:rFonts w:asciiTheme="majorBidi" w:eastAsia="Times New Roman" w:hAnsiTheme="majorBidi" w:cstheme="majorBidi"/>
        </w:rPr>
        <w:t xml:space="preserve"> most nations will fall short of their reduction goals</w:t>
      </w:r>
      <w:r>
        <w:rPr>
          <w:rFonts w:asciiTheme="majorBidi" w:eastAsia="Times New Roman" w:hAnsiTheme="majorBidi" w:cstheme="majorBidi"/>
        </w:rPr>
        <w:t>. T</w:t>
      </w:r>
      <w:r w:rsidR="0057665E" w:rsidRPr="00B55CD8">
        <w:rPr>
          <w:rFonts w:asciiTheme="majorBidi" w:eastAsia="Times New Roman" w:hAnsiTheme="majorBidi" w:cstheme="majorBidi"/>
        </w:rPr>
        <w:t xml:space="preserve">heir predicted emissions for 2030 will exceed the pledged emissions cap. Larger </w:t>
      </w:r>
      <w:r>
        <w:rPr>
          <w:rFonts w:asciiTheme="majorBidi" w:eastAsia="Times New Roman" w:hAnsiTheme="majorBidi" w:cstheme="majorBidi"/>
        </w:rPr>
        <w:t>countries</w:t>
      </w:r>
      <w:r w:rsidR="0057665E" w:rsidRPr="00B55CD8">
        <w:rPr>
          <w:rFonts w:asciiTheme="majorBidi" w:eastAsia="Times New Roman" w:hAnsiTheme="majorBidi" w:cstheme="majorBidi"/>
        </w:rPr>
        <w:t xml:space="preserve">, such as the United States, will have </w:t>
      </w:r>
      <w:r w:rsidR="002712FF">
        <w:rPr>
          <w:rFonts w:asciiTheme="majorBidi" w:eastAsia="Times New Roman" w:hAnsiTheme="majorBidi" w:cstheme="majorBidi"/>
        </w:rPr>
        <w:t xml:space="preserve">more significant </w:t>
      </w:r>
      <w:r w:rsidR="0057665E" w:rsidRPr="00B55CD8">
        <w:rPr>
          <w:rFonts w:asciiTheme="majorBidi" w:eastAsia="Times New Roman" w:hAnsiTheme="majorBidi" w:cstheme="majorBidi"/>
        </w:rPr>
        <w:t>impact</w:t>
      </w:r>
      <w:r w:rsidR="002712FF">
        <w:rPr>
          <w:rFonts w:asciiTheme="majorBidi" w:eastAsia="Times New Roman" w:hAnsiTheme="majorBidi" w:cstheme="majorBidi"/>
        </w:rPr>
        <w:t>s</w:t>
      </w:r>
      <w:r w:rsidR="0057665E" w:rsidRPr="00B55CD8">
        <w:rPr>
          <w:rFonts w:asciiTheme="majorBidi" w:eastAsia="Times New Roman" w:hAnsiTheme="majorBidi" w:cstheme="majorBidi"/>
        </w:rPr>
        <w:t xml:space="preserve"> on global emissions</w:t>
      </w:r>
      <w:r>
        <w:rPr>
          <w:rFonts w:asciiTheme="majorBidi" w:eastAsia="Times New Roman" w:hAnsiTheme="majorBidi" w:cstheme="majorBidi"/>
        </w:rPr>
        <w:t>.</w:t>
      </w:r>
      <w:r w:rsidR="0057665E" w:rsidRPr="00B55CD8">
        <w:rPr>
          <w:rFonts w:asciiTheme="majorBidi" w:eastAsia="Times New Roman" w:hAnsiTheme="majorBidi" w:cstheme="majorBidi"/>
        </w:rPr>
        <w:t xml:space="preserve"> I suspect many of the</w:t>
      </w:r>
      <w:r>
        <w:rPr>
          <w:rFonts w:asciiTheme="majorBidi" w:eastAsia="Times New Roman" w:hAnsiTheme="majorBidi" w:cstheme="majorBidi"/>
        </w:rPr>
        <w:t>se</w:t>
      </w:r>
      <w:r w:rsidR="0057665E" w:rsidRPr="00B55CD8">
        <w:rPr>
          <w:rFonts w:asciiTheme="majorBidi" w:eastAsia="Times New Roman" w:hAnsiTheme="majorBidi" w:cstheme="majorBidi"/>
        </w:rPr>
        <w:t xml:space="preserve"> larger</w:t>
      </w:r>
      <w:r>
        <w:rPr>
          <w:rFonts w:asciiTheme="majorBidi" w:eastAsia="Times New Roman" w:hAnsiTheme="majorBidi" w:cstheme="majorBidi"/>
        </w:rPr>
        <w:t xml:space="preserve"> nations</w:t>
      </w:r>
      <w:r w:rsidR="0057665E" w:rsidRPr="00B55CD8">
        <w:rPr>
          <w:rFonts w:asciiTheme="majorBidi" w:eastAsia="Times New Roman" w:hAnsiTheme="majorBidi" w:cstheme="majorBidi"/>
        </w:rPr>
        <w:t xml:space="preserve"> will not meet their goals. I </w:t>
      </w:r>
      <w:r w:rsidR="00EE030A">
        <w:rPr>
          <w:rFonts w:asciiTheme="majorBidi" w:eastAsia="Times New Roman" w:hAnsiTheme="majorBidi" w:cstheme="majorBidi"/>
        </w:rPr>
        <w:t>predict</w:t>
      </w:r>
      <w:r w:rsidR="0057665E" w:rsidRPr="00B55CD8">
        <w:rPr>
          <w:rFonts w:asciiTheme="majorBidi" w:eastAsia="Times New Roman" w:hAnsiTheme="majorBidi" w:cstheme="majorBidi"/>
        </w:rPr>
        <w:t xml:space="preserve"> that the gap between actual and pledged emissions for 20</w:t>
      </w:r>
      <w:r w:rsidR="00F94F2D">
        <w:rPr>
          <w:rFonts w:asciiTheme="majorBidi" w:eastAsia="Times New Roman" w:hAnsiTheme="majorBidi" w:cstheme="majorBidi"/>
        </w:rPr>
        <w:t>3</w:t>
      </w:r>
      <w:r w:rsidR="0057665E" w:rsidRPr="00B55CD8">
        <w:rPr>
          <w:rFonts w:asciiTheme="majorBidi" w:eastAsia="Times New Roman" w:hAnsiTheme="majorBidi" w:cstheme="majorBidi"/>
        </w:rPr>
        <w:t xml:space="preserve">0 will be lower </w:t>
      </w:r>
      <w:r w:rsidR="009544F1">
        <w:rPr>
          <w:rFonts w:asciiTheme="majorBidi" w:eastAsia="Times New Roman" w:hAnsiTheme="majorBidi" w:cstheme="majorBidi"/>
        </w:rPr>
        <w:t>than it</w:t>
      </w:r>
      <w:r w:rsidR="0057665E" w:rsidRPr="00B55CD8">
        <w:rPr>
          <w:rFonts w:asciiTheme="majorBidi" w:eastAsia="Times New Roman" w:hAnsiTheme="majorBidi" w:cstheme="majorBidi"/>
        </w:rPr>
        <w:t xml:space="preserve"> would have been without the adoption of the Paris Agreement for industrialized </w:t>
      </w:r>
      <w:r w:rsidR="00405013" w:rsidRPr="00B55CD8">
        <w:rPr>
          <w:rFonts w:asciiTheme="majorBidi" w:eastAsia="Times New Roman" w:hAnsiTheme="majorBidi" w:cstheme="majorBidi"/>
        </w:rPr>
        <w:t>nations</w:t>
      </w:r>
      <w:r w:rsidR="00405013">
        <w:rPr>
          <w:rFonts w:asciiTheme="majorBidi" w:eastAsia="Times New Roman" w:hAnsiTheme="majorBidi" w:cstheme="majorBidi"/>
        </w:rPr>
        <w:t xml:space="preserve"> but</w:t>
      </w:r>
      <w:r w:rsidR="0057665E" w:rsidRPr="00B55CD8">
        <w:rPr>
          <w:rFonts w:asciiTheme="majorBidi" w:eastAsia="Times New Roman" w:hAnsiTheme="majorBidi" w:cstheme="majorBidi"/>
        </w:rPr>
        <w:t xml:space="preserve"> may not be the case for developing nations that are still industrializing. I </w:t>
      </w:r>
      <w:r w:rsidR="00EE030A">
        <w:rPr>
          <w:rFonts w:asciiTheme="majorBidi" w:eastAsia="Times New Roman" w:hAnsiTheme="majorBidi" w:cstheme="majorBidi"/>
        </w:rPr>
        <w:t>expect</w:t>
      </w:r>
      <w:r w:rsidR="0057665E" w:rsidRPr="00B55CD8">
        <w:rPr>
          <w:rFonts w:asciiTheme="majorBidi" w:eastAsia="Times New Roman" w:hAnsiTheme="majorBidi" w:cstheme="majorBidi"/>
        </w:rPr>
        <w:t xml:space="preserve"> the </w:t>
      </w:r>
      <w:r w:rsidR="00EE030A">
        <w:rPr>
          <w:rFonts w:asciiTheme="majorBidi" w:eastAsia="Times New Roman" w:hAnsiTheme="majorBidi" w:cstheme="majorBidi"/>
        </w:rPr>
        <w:t xml:space="preserve">actual </w:t>
      </w:r>
      <w:r w:rsidR="0057665E" w:rsidRPr="00B55CD8">
        <w:rPr>
          <w:rFonts w:asciiTheme="majorBidi" w:eastAsia="Times New Roman" w:hAnsiTheme="majorBidi" w:cstheme="majorBidi"/>
        </w:rPr>
        <w:t xml:space="preserve">global emissions gap for 2020 </w:t>
      </w:r>
      <w:r w:rsidR="00373321">
        <w:rPr>
          <w:rFonts w:asciiTheme="majorBidi" w:eastAsia="Times New Roman" w:hAnsiTheme="majorBidi" w:cstheme="majorBidi"/>
        </w:rPr>
        <w:t>to</w:t>
      </w:r>
      <w:r w:rsidR="0057665E" w:rsidRPr="00B55CD8">
        <w:rPr>
          <w:rFonts w:asciiTheme="majorBidi" w:eastAsia="Times New Roman" w:hAnsiTheme="majorBidi" w:cstheme="majorBidi"/>
        </w:rPr>
        <w:t xml:space="preserve"> be significant, as will the </w:t>
      </w:r>
      <w:r w:rsidR="0057665E" w:rsidRPr="00B55CD8">
        <w:rPr>
          <w:rFonts w:asciiTheme="majorBidi" w:eastAsia="Times New Roman" w:hAnsiTheme="majorBidi" w:cstheme="majorBidi"/>
        </w:rPr>
        <w:lastRenderedPageBreak/>
        <w:t>estimated gap for 2030. I believe that the top emitters will include the United States, China, and India based on population and economic activity.</w:t>
      </w:r>
    </w:p>
    <w:p w14:paraId="5390303F" w14:textId="5E622E79" w:rsidR="0057665E" w:rsidRPr="00B55CD8" w:rsidRDefault="0057665E" w:rsidP="0018493C">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DATA</w:t>
      </w:r>
    </w:p>
    <w:p w14:paraId="45405D57" w14:textId="1827FBFB" w:rsidR="008849BD" w:rsidRPr="00B55CD8" w:rsidRDefault="0057665E"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The </w:t>
      </w:r>
      <w:r w:rsidR="00D30E32">
        <w:rPr>
          <w:rFonts w:asciiTheme="majorBidi" w:eastAsia="Times New Roman" w:hAnsiTheme="majorBidi" w:cstheme="majorBidi"/>
        </w:rPr>
        <w:t>primary</w:t>
      </w:r>
      <w:r w:rsidRPr="00B55CD8">
        <w:rPr>
          <w:rFonts w:asciiTheme="majorBidi" w:eastAsia="Times New Roman" w:hAnsiTheme="majorBidi" w:cstheme="majorBidi"/>
        </w:rPr>
        <w:t xml:space="preserve"> dataset of historical emissions was </w:t>
      </w:r>
      <w:r w:rsidR="005A17B1">
        <w:rPr>
          <w:rFonts w:asciiTheme="majorBidi" w:eastAsia="Times New Roman" w:hAnsiTheme="majorBidi" w:cstheme="majorBidi"/>
        </w:rPr>
        <w:t>the PIK PRIMAP historical emissions dataset,</w:t>
      </w:r>
      <w:r w:rsidR="00452C18" w:rsidRPr="00B55CD8">
        <w:rPr>
          <w:rStyle w:val="FootnoteReference"/>
          <w:rFonts w:asciiTheme="majorBidi" w:eastAsia="Times New Roman" w:hAnsiTheme="majorBidi" w:cstheme="majorBidi"/>
          <w:color w:val="2F5496" w:themeColor="accent1" w:themeShade="BF"/>
        </w:rPr>
        <w:footnoteReference w:id="1"/>
      </w:r>
      <w:r w:rsidR="004C0FCC">
        <w:rPr>
          <w:rStyle w:val="Heading2Char"/>
          <w:rFonts w:asciiTheme="majorBidi" w:eastAsia="Times New Roman" w:hAnsiTheme="majorBidi"/>
          <w:sz w:val="22"/>
          <w:szCs w:val="22"/>
        </w:rPr>
        <w:t xml:space="preserve"> </w:t>
      </w:r>
      <w:r w:rsidR="009544F1">
        <w:rPr>
          <w:rFonts w:asciiTheme="majorBidi" w:eastAsia="Times New Roman" w:hAnsiTheme="majorBidi" w:cstheme="majorBidi"/>
        </w:rPr>
        <w:t>which was chosen for its</w:t>
      </w:r>
      <w:r w:rsidR="00D30E32">
        <w:rPr>
          <w:rFonts w:asciiTheme="majorBidi" w:eastAsia="Times New Roman" w:hAnsiTheme="majorBidi" w:cstheme="majorBidi"/>
        </w:rPr>
        <w:t xml:space="preserve"> thoroughness</w:t>
      </w:r>
      <w:r w:rsidRPr="00B55CD8">
        <w:rPr>
          <w:rFonts w:asciiTheme="majorBidi" w:eastAsia="Times New Roman" w:hAnsiTheme="majorBidi" w:cstheme="majorBidi"/>
        </w:rPr>
        <w:t>. It includes all Kyoto Protocol GHGs</w:t>
      </w:r>
      <w:r w:rsidR="00561564">
        <w:rPr>
          <w:rFonts w:asciiTheme="majorBidi" w:eastAsia="Times New Roman" w:hAnsiTheme="majorBidi" w:cstheme="majorBidi"/>
        </w:rPr>
        <w:t xml:space="preserve">, </w:t>
      </w:r>
      <w:r w:rsidR="00AB000F" w:rsidRPr="00B55CD8">
        <w:rPr>
          <w:rFonts w:asciiTheme="majorBidi" w:eastAsia="Times New Roman" w:hAnsiTheme="majorBidi" w:cstheme="majorBidi"/>
        </w:rPr>
        <w:t>w</w:t>
      </w:r>
      <w:r w:rsidRPr="00B55CD8">
        <w:rPr>
          <w:rFonts w:asciiTheme="majorBidi" w:eastAsia="Times New Roman" w:hAnsiTheme="majorBidi" w:cstheme="majorBidi"/>
        </w:rPr>
        <w:t>hich are used by the Intergovernmental Panel on Climate Chan</w:t>
      </w:r>
      <w:r w:rsidR="00ED371C" w:rsidRPr="00B55CD8">
        <w:rPr>
          <w:rFonts w:asciiTheme="majorBidi" w:eastAsia="Times New Roman" w:hAnsiTheme="majorBidi" w:cstheme="majorBidi"/>
        </w:rPr>
        <w:t>ge (IPCC)</w:t>
      </w:r>
      <w:r w:rsidRPr="00B55CD8">
        <w:rPr>
          <w:rFonts w:asciiTheme="majorBidi" w:eastAsia="Times New Roman" w:hAnsiTheme="majorBidi" w:cstheme="majorBidi"/>
        </w:rPr>
        <w:t xml:space="preserve"> and UNFCCC for their </w:t>
      </w:r>
      <w:r w:rsidR="00CB59F1" w:rsidRPr="00CB59F1">
        <w:rPr>
          <w:rFonts w:asciiTheme="majorBidi" w:eastAsia="Times New Roman" w:hAnsiTheme="majorBidi" w:cstheme="majorBidi"/>
        </w:rPr>
        <w:t>global</w:t>
      </w:r>
      <w:r w:rsidR="00D30E32">
        <w:rPr>
          <w:rFonts w:asciiTheme="majorBidi" w:eastAsia="Times New Roman" w:hAnsiTheme="majorBidi" w:cstheme="majorBidi"/>
        </w:rPr>
        <w:t>-</w:t>
      </w:r>
      <w:r w:rsidR="00CB59F1" w:rsidRPr="00CB59F1">
        <w:rPr>
          <w:rFonts w:asciiTheme="majorBidi" w:eastAsia="Times New Roman" w:hAnsiTheme="majorBidi" w:cstheme="majorBidi"/>
        </w:rPr>
        <w:t>st</w:t>
      </w:r>
      <w:r w:rsidR="00561564" w:rsidRPr="00CB59F1">
        <w:rPr>
          <w:rFonts w:asciiTheme="majorBidi" w:eastAsia="Times New Roman" w:hAnsiTheme="majorBidi" w:cstheme="majorBidi"/>
        </w:rPr>
        <w:t>andard</w:t>
      </w:r>
      <w:r w:rsidR="004D0A4C" w:rsidRPr="00B55CD8">
        <w:rPr>
          <w:rFonts w:asciiTheme="majorBidi" w:eastAsia="Times New Roman" w:hAnsiTheme="majorBidi" w:cstheme="majorBidi"/>
        </w:rPr>
        <w:t xml:space="preserve"> </w:t>
      </w:r>
      <w:r w:rsidRPr="00B55CD8">
        <w:rPr>
          <w:rFonts w:asciiTheme="majorBidi" w:eastAsia="Times New Roman" w:hAnsiTheme="majorBidi" w:cstheme="majorBidi"/>
        </w:rPr>
        <w:t>reports.</w:t>
      </w:r>
      <w:r w:rsidR="00C17545" w:rsidRPr="00B55CD8">
        <w:rPr>
          <w:rFonts w:asciiTheme="majorBidi" w:eastAsia="Times New Roman" w:hAnsiTheme="majorBidi" w:cstheme="majorBidi"/>
        </w:rPr>
        <w:t xml:space="preserve"> While country-reported data was prioritized, t</w:t>
      </w:r>
      <w:r w:rsidRPr="00B55CD8">
        <w:rPr>
          <w:rFonts w:asciiTheme="majorBidi" w:eastAsia="Times New Roman" w:hAnsiTheme="majorBidi" w:cstheme="majorBidi"/>
        </w:rPr>
        <w:t>hird-party data was collected to fill in where nationally reported data was unavailable.</w:t>
      </w:r>
      <w:r w:rsidR="008849BD" w:rsidRPr="00B55CD8">
        <w:rPr>
          <w:rFonts w:asciiTheme="majorBidi" w:eastAsia="Times New Roman" w:hAnsiTheme="majorBidi" w:cstheme="majorBidi"/>
        </w:rPr>
        <w:t xml:space="preserve"> </w:t>
      </w:r>
      <w:r w:rsidRPr="00B55CD8">
        <w:rPr>
          <w:rFonts w:asciiTheme="majorBidi" w:eastAsia="Times New Roman" w:hAnsiTheme="majorBidi" w:cstheme="majorBidi"/>
        </w:rPr>
        <w:t>The list of emissions sectors and categories used is also comprehensive</w:t>
      </w:r>
      <w:r w:rsidR="00ED371C" w:rsidRPr="00B55CD8">
        <w:rPr>
          <w:rFonts w:asciiTheme="majorBidi" w:eastAsia="Times New Roman" w:hAnsiTheme="majorBidi" w:cstheme="majorBidi"/>
        </w:rPr>
        <w:t xml:space="preserve">. </w:t>
      </w:r>
    </w:p>
    <w:p w14:paraId="0399A522" w14:textId="673031D3" w:rsidR="0057665E" w:rsidRPr="00B55CD8" w:rsidRDefault="0057665E"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An additional dataset </w:t>
      </w:r>
      <w:r w:rsidR="00A45718">
        <w:rPr>
          <w:rFonts w:asciiTheme="majorBidi" w:eastAsia="Times New Roman" w:hAnsiTheme="majorBidi" w:cstheme="majorBidi"/>
        </w:rPr>
        <w:t>was created</w:t>
      </w:r>
      <w:r w:rsidR="00A45718" w:rsidRPr="00B55CD8">
        <w:rPr>
          <w:rFonts w:asciiTheme="majorBidi" w:eastAsia="Times New Roman" w:hAnsiTheme="majorBidi" w:cstheme="majorBidi"/>
        </w:rPr>
        <w:t xml:space="preserve"> </w:t>
      </w:r>
      <w:r w:rsidRPr="00B55CD8">
        <w:rPr>
          <w:rFonts w:asciiTheme="majorBidi" w:eastAsia="Times New Roman" w:hAnsiTheme="majorBidi" w:cstheme="majorBidi"/>
        </w:rPr>
        <w:t>contain</w:t>
      </w:r>
      <w:r w:rsidR="00A45718">
        <w:rPr>
          <w:rFonts w:asciiTheme="majorBidi" w:eastAsia="Times New Roman" w:hAnsiTheme="majorBidi" w:cstheme="majorBidi"/>
        </w:rPr>
        <w:t>ing</w:t>
      </w:r>
      <w:r w:rsidRPr="00B55CD8">
        <w:rPr>
          <w:rFonts w:asciiTheme="majorBidi" w:eastAsia="Times New Roman" w:hAnsiTheme="majorBidi" w:cstheme="majorBidi"/>
        </w:rPr>
        <w:t xml:space="preserve"> the NDCs of the countries investigated and the global benchmarks established by scientists necessary to stay under the</w:t>
      </w:r>
      <w:r w:rsidR="00F82758" w:rsidRPr="00B55CD8">
        <w:rPr>
          <w:rFonts w:asciiTheme="majorBidi" w:eastAsia="Times New Roman" w:hAnsiTheme="majorBidi" w:cstheme="majorBidi"/>
        </w:rPr>
        <w:t xml:space="preserve"> 1.5 and</w:t>
      </w:r>
      <w:r w:rsidRPr="00B55CD8">
        <w:rPr>
          <w:rFonts w:asciiTheme="majorBidi" w:eastAsia="Times New Roman" w:hAnsiTheme="majorBidi" w:cstheme="majorBidi"/>
        </w:rPr>
        <w:t xml:space="preserve"> 2°C threshold</w:t>
      </w:r>
      <w:r w:rsidR="00F82758" w:rsidRPr="00B55CD8">
        <w:rPr>
          <w:rFonts w:asciiTheme="majorBidi" w:eastAsia="Times New Roman" w:hAnsiTheme="majorBidi" w:cstheme="majorBidi"/>
        </w:rPr>
        <w:t>s</w:t>
      </w:r>
      <w:r w:rsidRPr="00B55CD8">
        <w:rPr>
          <w:rFonts w:asciiTheme="majorBidi" w:eastAsia="Times New Roman" w:hAnsiTheme="majorBidi" w:cstheme="majorBidi"/>
        </w:rPr>
        <w:t>.</w:t>
      </w:r>
      <w:r w:rsidR="00D271DF">
        <w:rPr>
          <w:rStyle w:val="FootnoteReference"/>
          <w:rFonts w:asciiTheme="majorBidi" w:eastAsia="Times New Roman" w:hAnsiTheme="majorBidi" w:cstheme="majorBidi"/>
        </w:rPr>
        <w:footnoteReference w:id="2"/>
      </w:r>
      <w:r w:rsidR="00D271DF">
        <w:rPr>
          <w:rFonts w:asciiTheme="majorBidi" w:eastAsia="Times New Roman" w:hAnsiTheme="majorBidi" w:cstheme="majorBidi"/>
        </w:rPr>
        <w:t xml:space="preserve"> </w:t>
      </w:r>
      <w:r w:rsidR="00A45718" w:rsidRPr="00B55CD8">
        <w:rPr>
          <w:rStyle w:val="FootnoteReference"/>
          <w:rFonts w:asciiTheme="majorBidi" w:eastAsia="Times New Roman" w:hAnsiTheme="majorBidi" w:cstheme="majorBidi"/>
        </w:rPr>
        <w:footnoteReference w:id="3"/>
      </w:r>
      <w:r w:rsidRPr="00B55CD8">
        <w:rPr>
          <w:rFonts w:asciiTheme="majorBidi" w:eastAsia="Times New Roman" w:hAnsiTheme="majorBidi" w:cstheme="majorBidi"/>
        </w:rPr>
        <w:t xml:space="preserve"> </w:t>
      </w:r>
      <w:r w:rsidR="00561564">
        <w:rPr>
          <w:rFonts w:asciiTheme="majorBidi" w:eastAsia="Times New Roman" w:hAnsiTheme="majorBidi" w:cstheme="majorBidi"/>
        </w:rPr>
        <w:t xml:space="preserve">The </w:t>
      </w:r>
      <w:r w:rsidR="00A45718">
        <w:rPr>
          <w:rFonts w:asciiTheme="majorBidi" w:eastAsia="Times New Roman" w:hAnsiTheme="majorBidi" w:cstheme="majorBidi"/>
        </w:rPr>
        <w:t>data was</w:t>
      </w:r>
      <w:r w:rsidRPr="00B55CD8">
        <w:rPr>
          <w:rFonts w:asciiTheme="majorBidi" w:eastAsia="Times New Roman" w:hAnsiTheme="majorBidi" w:cstheme="majorBidi"/>
        </w:rPr>
        <w:t xml:space="preserve"> collected from </w:t>
      </w:r>
      <w:r w:rsidR="007C799D" w:rsidRPr="00B55CD8">
        <w:rPr>
          <w:rFonts w:asciiTheme="majorBidi" w:eastAsia="Times New Roman" w:hAnsiTheme="majorBidi" w:cstheme="majorBidi"/>
        </w:rPr>
        <w:t>various sources</w:t>
      </w:r>
      <w:r w:rsidRPr="00B55CD8">
        <w:rPr>
          <w:rFonts w:asciiTheme="majorBidi" w:eastAsia="Times New Roman" w:hAnsiTheme="majorBidi" w:cstheme="majorBidi"/>
        </w:rPr>
        <w:t xml:space="preserve"> </w:t>
      </w:r>
      <w:r w:rsidR="00A45718">
        <w:rPr>
          <w:rFonts w:asciiTheme="majorBidi" w:eastAsia="Times New Roman" w:hAnsiTheme="majorBidi" w:cstheme="majorBidi"/>
        </w:rPr>
        <w:t>and underwent</w:t>
      </w:r>
      <w:r w:rsidR="004D0A4C" w:rsidRPr="00B55CD8">
        <w:rPr>
          <w:rFonts w:asciiTheme="majorBidi" w:eastAsia="Times New Roman" w:hAnsiTheme="majorBidi" w:cstheme="majorBidi"/>
        </w:rPr>
        <w:t xml:space="preserve"> </w:t>
      </w:r>
      <w:r w:rsidRPr="00B55CD8">
        <w:rPr>
          <w:rFonts w:asciiTheme="majorBidi" w:eastAsia="Times New Roman" w:hAnsiTheme="majorBidi" w:cstheme="majorBidi"/>
        </w:rPr>
        <w:t xml:space="preserve">any </w:t>
      </w:r>
      <w:r w:rsidR="00AB000F" w:rsidRPr="00B55CD8">
        <w:rPr>
          <w:rFonts w:asciiTheme="majorBidi" w:eastAsia="Times New Roman" w:hAnsiTheme="majorBidi" w:cstheme="majorBidi"/>
        </w:rPr>
        <w:t>transformations</w:t>
      </w:r>
      <w:r w:rsidRPr="00B55CD8">
        <w:rPr>
          <w:rFonts w:asciiTheme="majorBidi" w:eastAsia="Times New Roman" w:hAnsiTheme="majorBidi" w:cstheme="majorBidi"/>
        </w:rPr>
        <w:t xml:space="preserve"> </w:t>
      </w:r>
      <w:r w:rsidR="00561564">
        <w:rPr>
          <w:rFonts w:asciiTheme="majorBidi" w:eastAsia="Times New Roman" w:hAnsiTheme="majorBidi" w:cstheme="majorBidi"/>
        </w:rPr>
        <w:t xml:space="preserve">needed to get </w:t>
      </w:r>
      <w:r w:rsidR="007C799D">
        <w:rPr>
          <w:rFonts w:asciiTheme="majorBidi" w:eastAsia="Times New Roman" w:hAnsiTheme="majorBidi" w:cstheme="majorBidi"/>
        </w:rPr>
        <w:t>the required</w:t>
      </w:r>
      <w:r w:rsidR="00561564">
        <w:rPr>
          <w:rFonts w:asciiTheme="majorBidi" w:eastAsia="Times New Roman" w:hAnsiTheme="majorBidi" w:cstheme="majorBidi"/>
        </w:rPr>
        <w:t xml:space="preserve"> </w:t>
      </w:r>
      <w:r w:rsidR="007C799D">
        <w:rPr>
          <w:rFonts w:asciiTheme="majorBidi" w:eastAsia="Times New Roman" w:hAnsiTheme="majorBidi" w:cstheme="majorBidi"/>
        </w:rPr>
        <w:t>metrics</w:t>
      </w:r>
      <w:r w:rsidR="00561564">
        <w:rPr>
          <w:rFonts w:asciiTheme="majorBidi" w:eastAsia="Times New Roman" w:hAnsiTheme="majorBidi" w:cstheme="majorBidi"/>
        </w:rPr>
        <w:t>.</w:t>
      </w:r>
    </w:p>
    <w:p w14:paraId="0F572723" w14:textId="706360F7" w:rsidR="0057665E" w:rsidRPr="00B55CD8" w:rsidRDefault="0057665E" w:rsidP="0018493C">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ANALYSIS</w:t>
      </w:r>
    </w:p>
    <w:p w14:paraId="542C561A" w14:textId="6A12DF55" w:rsidR="00322F3F" w:rsidRDefault="00322F3F" w:rsidP="00F11D79">
      <w:pPr>
        <w:spacing w:after="240" w:line="240" w:lineRule="auto"/>
        <w:rPr>
          <w:rFonts w:asciiTheme="majorBidi" w:hAnsiTheme="majorBidi" w:cstheme="majorBidi"/>
        </w:rPr>
      </w:pPr>
      <w:r w:rsidRPr="00B55CD8">
        <w:rPr>
          <w:rFonts w:asciiTheme="majorBidi" w:eastAsia="Times New Roman" w:hAnsiTheme="majorBidi" w:cstheme="majorBidi"/>
        </w:rPr>
        <w:t>It should be noted that the emissions data used excluded calculations for Land Use, Land Use Change, and Forestry</w:t>
      </w:r>
      <w:r>
        <w:rPr>
          <w:rFonts w:asciiTheme="majorBidi" w:eastAsia="Times New Roman" w:hAnsiTheme="majorBidi" w:cstheme="majorBidi"/>
        </w:rPr>
        <w:t xml:space="preserve"> (LULUCF)</w:t>
      </w:r>
      <w:r w:rsidRPr="00B55CD8">
        <w:rPr>
          <w:rFonts w:asciiTheme="majorBidi" w:eastAsia="Times New Roman" w:hAnsiTheme="majorBidi" w:cstheme="majorBidi"/>
        </w:rPr>
        <w:t xml:space="preserve">. This sector covers GHG emissions and removals from human-induced land use, including deforestation, reforestation, and afforestation; cropland, grazing land, and forest management; and revegetation. This is important for affecting the amount of carbon dioxide in the atmosphere, but there is no common framework for LULUCF accounting. Many INDCs and NDCs, along with the data provided by governments, lack </w:t>
      </w:r>
      <w:r>
        <w:rPr>
          <w:rFonts w:asciiTheme="majorBidi" w:eastAsia="Times New Roman" w:hAnsiTheme="majorBidi" w:cstheme="majorBidi"/>
        </w:rPr>
        <w:t xml:space="preserve">mention of </w:t>
      </w:r>
      <w:r w:rsidRPr="00B55CD8">
        <w:rPr>
          <w:rFonts w:asciiTheme="majorBidi" w:eastAsia="Times New Roman" w:hAnsiTheme="majorBidi" w:cstheme="majorBidi"/>
        </w:rPr>
        <w:t xml:space="preserve">the necessary assumptions and methods applied to collecting LULUCF data, presenting an issue in consistently tracking international LULUCF data. Even when mentioned, </w:t>
      </w:r>
      <w:r>
        <w:rPr>
          <w:rFonts w:asciiTheme="majorBidi" w:eastAsia="Times New Roman" w:hAnsiTheme="majorBidi" w:cstheme="majorBidi"/>
        </w:rPr>
        <w:t>many different methods are</w:t>
      </w:r>
      <w:r w:rsidRPr="00B55CD8">
        <w:rPr>
          <w:rFonts w:asciiTheme="majorBidi" w:eastAsia="Times New Roman" w:hAnsiTheme="majorBidi" w:cstheme="majorBidi"/>
        </w:rPr>
        <w:t xml:space="preserve"> used to collect this data</w:t>
      </w:r>
      <w:r>
        <w:rPr>
          <w:rFonts w:asciiTheme="majorBidi" w:eastAsia="Times New Roman" w:hAnsiTheme="majorBidi" w:cstheme="majorBidi"/>
        </w:rPr>
        <w:t>, adding</w:t>
      </w:r>
      <w:r w:rsidRPr="00B55CD8">
        <w:rPr>
          <w:rFonts w:asciiTheme="majorBidi" w:eastAsia="Times New Roman" w:hAnsiTheme="majorBidi" w:cstheme="majorBidi"/>
        </w:rPr>
        <w:t xml:space="preserve"> to the inconsistency. For this reason, </w:t>
      </w:r>
      <w:r>
        <w:rPr>
          <w:rFonts w:asciiTheme="majorBidi" w:eastAsia="Times New Roman" w:hAnsiTheme="majorBidi" w:cstheme="majorBidi"/>
        </w:rPr>
        <w:t xml:space="preserve">the </w:t>
      </w:r>
      <w:r w:rsidRPr="00B55CD8">
        <w:rPr>
          <w:rFonts w:asciiTheme="majorBidi" w:eastAsia="Times New Roman" w:hAnsiTheme="majorBidi" w:cstheme="majorBidi"/>
        </w:rPr>
        <w:t>totals used for analysis exclude LULUCF in this project. The effect of this exclusion was evaluated</w:t>
      </w:r>
      <w:r>
        <w:rPr>
          <w:rFonts w:asciiTheme="majorBidi" w:eastAsia="Times New Roman" w:hAnsiTheme="majorBidi" w:cstheme="majorBidi"/>
        </w:rPr>
        <w:t>,</w:t>
      </w:r>
      <w:r w:rsidRPr="00B55CD8">
        <w:rPr>
          <w:rFonts w:asciiTheme="majorBidi" w:eastAsia="Times New Roman" w:hAnsiTheme="majorBidi" w:cstheme="majorBidi"/>
        </w:rPr>
        <w:t xml:space="preserve"> and </w:t>
      </w:r>
      <w:r>
        <w:rPr>
          <w:rFonts w:asciiTheme="majorBidi" w:eastAsia="Times New Roman" w:hAnsiTheme="majorBidi" w:cstheme="majorBidi"/>
        </w:rPr>
        <w:t xml:space="preserve">it was </w:t>
      </w:r>
      <w:r w:rsidRPr="00B55CD8">
        <w:rPr>
          <w:rFonts w:asciiTheme="majorBidi" w:eastAsia="Times New Roman" w:hAnsiTheme="majorBidi" w:cstheme="majorBidi"/>
        </w:rPr>
        <w:t>found that after 2000, there</w:t>
      </w:r>
      <w:r>
        <w:rPr>
          <w:rFonts w:asciiTheme="majorBidi" w:eastAsia="Times New Roman" w:hAnsiTheme="majorBidi" w:cstheme="majorBidi"/>
        </w:rPr>
        <w:t xml:space="preserve"> is n</w:t>
      </w:r>
      <w:r w:rsidRPr="00B55CD8">
        <w:rPr>
          <w:rFonts w:asciiTheme="majorBidi" w:eastAsia="Times New Roman" w:hAnsiTheme="majorBidi" w:cstheme="majorBidi"/>
        </w:rPr>
        <w:t xml:space="preserve">ot a pronounced effect </w:t>
      </w:r>
      <w:r>
        <w:rPr>
          <w:rFonts w:asciiTheme="majorBidi" w:eastAsia="Times New Roman" w:hAnsiTheme="majorBidi" w:cstheme="majorBidi"/>
        </w:rPr>
        <w:t>o</w:t>
      </w:r>
      <w:r w:rsidRPr="00B55CD8">
        <w:rPr>
          <w:rFonts w:asciiTheme="majorBidi" w:eastAsia="Times New Roman" w:hAnsiTheme="majorBidi" w:cstheme="majorBidi"/>
        </w:rPr>
        <w:t>n the data</w:t>
      </w:r>
      <w:r>
        <w:rPr>
          <w:rFonts w:asciiTheme="majorBidi" w:eastAsia="Times New Roman" w:hAnsiTheme="majorBidi" w:cstheme="majorBidi"/>
        </w:rPr>
        <w:t>. Therefore,</w:t>
      </w:r>
      <w:r w:rsidRPr="00B55CD8">
        <w:rPr>
          <w:rFonts w:asciiTheme="majorBidi" w:eastAsia="Times New Roman" w:hAnsiTheme="majorBidi" w:cstheme="majorBidi"/>
        </w:rPr>
        <w:t xml:space="preserve"> this author feels confident that it has no significant impact on the underlying assumptions and analysis.</w:t>
      </w:r>
      <w:r w:rsidRPr="00B55CD8">
        <w:rPr>
          <w:rFonts w:asciiTheme="majorBidi" w:hAnsiTheme="majorBidi" w:cstheme="majorBidi"/>
        </w:rPr>
        <w:t xml:space="preserve"> </w:t>
      </w:r>
    </w:p>
    <w:p w14:paraId="19F55A25" w14:textId="77777777" w:rsidR="00322F3F" w:rsidRDefault="00322F3F" w:rsidP="00322F3F">
      <w:pPr>
        <w:keepNext/>
        <w:spacing w:after="0"/>
        <w:jc w:val="center"/>
      </w:pPr>
      <w:r>
        <w:rPr>
          <w:noProof/>
        </w:rPr>
        <w:drawing>
          <wp:inline distT="0" distB="0" distL="0" distR="0" wp14:anchorId="52E0649C" wp14:editId="6BA3FC3D">
            <wp:extent cx="3414728" cy="2441448"/>
            <wp:effectExtent l="0" t="0" r="0" b="0"/>
            <wp:docPr id="1999926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26872"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14728" cy="2441448"/>
                    </a:xfrm>
                    <a:prstGeom prst="rect">
                      <a:avLst/>
                    </a:prstGeom>
                  </pic:spPr>
                </pic:pic>
              </a:graphicData>
            </a:graphic>
          </wp:inline>
        </w:drawing>
      </w:r>
    </w:p>
    <w:p w14:paraId="6F869B01" w14:textId="2D4A3428" w:rsidR="00322F3F" w:rsidRPr="007B05EB" w:rsidRDefault="00322F3F" w:rsidP="007B05EB">
      <w:pPr>
        <w:pStyle w:val="Caption"/>
        <w:ind w:left="1440"/>
        <w:rPr>
          <w:rFonts w:ascii="Fira Sans Condensed" w:hAnsi="Fira Sans Condensed" w:cstheme="majorBidi"/>
          <w:sz w:val="16"/>
          <w:szCs w:val="16"/>
        </w:rPr>
      </w:pPr>
      <w:r w:rsidRPr="00405013">
        <w:rPr>
          <w:rFonts w:ascii="Fira Sans Condensed" w:hAnsi="Fira Sans Condensed" w:cstheme="majorBidi"/>
          <w:sz w:val="16"/>
          <w:szCs w:val="16"/>
        </w:rPr>
        <w:t xml:space="preserve">     </w:t>
      </w:r>
      <w:r w:rsidR="0061023B">
        <w:rPr>
          <w:rFonts w:ascii="Fira Sans Condensed" w:hAnsi="Fira Sans Condensed" w:cstheme="majorBidi"/>
          <w:sz w:val="16"/>
          <w:szCs w:val="16"/>
        </w:rPr>
        <w:tab/>
      </w:r>
      <w:r w:rsidRPr="00405013">
        <w:rPr>
          <w:rFonts w:ascii="Fira Sans Condensed" w:hAnsi="Fira Sans Condensed" w:cstheme="majorBidi"/>
          <w:sz w:val="16"/>
          <w:szCs w:val="16"/>
        </w:rPr>
        <w:t xml:space="preserve">    Figure </w:t>
      </w:r>
      <w:r w:rsidRPr="00405013">
        <w:rPr>
          <w:rFonts w:ascii="Fira Sans Condensed" w:hAnsi="Fira Sans Condensed" w:cstheme="majorBidi"/>
          <w:sz w:val="16"/>
          <w:szCs w:val="16"/>
        </w:rPr>
        <w:fldChar w:fldCharType="begin"/>
      </w:r>
      <w:r w:rsidRPr="00405013">
        <w:rPr>
          <w:rFonts w:ascii="Fira Sans Condensed" w:hAnsi="Fira Sans Condensed" w:cstheme="majorBidi"/>
          <w:sz w:val="16"/>
          <w:szCs w:val="16"/>
        </w:rPr>
        <w:instrText xml:space="preserve"> SEQ Figure \* ARABIC </w:instrText>
      </w:r>
      <w:r w:rsidRPr="00405013">
        <w:rPr>
          <w:rFonts w:ascii="Fira Sans Condensed" w:hAnsi="Fira Sans Condensed" w:cstheme="majorBidi"/>
          <w:sz w:val="16"/>
          <w:szCs w:val="16"/>
        </w:rPr>
        <w:fldChar w:fldCharType="separate"/>
      </w:r>
      <w:r w:rsidR="005F141F">
        <w:rPr>
          <w:rFonts w:ascii="Fira Sans Condensed" w:hAnsi="Fira Sans Condensed" w:cstheme="majorBidi"/>
          <w:noProof/>
          <w:sz w:val="16"/>
          <w:szCs w:val="16"/>
        </w:rPr>
        <w:t>1</w:t>
      </w:r>
      <w:r w:rsidRPr="00405013">
        <w:rPr>
          <w:rFonts w:ascii="Fira Sans Condensed" w:hAnsi="Fira Sans Condensed" w:cstheme="majorBidi"/>
          <w:sz w:val="16"/>
          <w:szCs w:val="16"/>
        </w:rPr>
        <w:fldChar w:fldCharType="end"/>
      </w:r>
    </w:p>
    <w:p w14:paraId="51F0242D" w14:textId="3D82E71A" w:rsidR="00EE5726" w:rsidRDefault="0057665E"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lastRenderedPageBreak/>
        <w:t xml:space="preserve">When </w:t>
      </w:r>
      <w:r w:rsidR="00D30E32">
        <w:rPr>
          <w:rFonts w:asciiTheme="majorBidi" w:eastAsia="Times New Roman" w:hAnsiTheme="majorBidi" w:cstheme="majorBidi"/>
        </w:rPr>
        <w:t>attempting to</w:t>
      </w:r>
      <w:r w:rsidRPr="00B55CD8">
        <w:rPr>
          <w:rFonts w:asciiTheme="majorBidi" w:eastAsia="Times New Roman" w:hAnsiTheme="majorBidi" w:cstheme="majorBidi"/>
        </w:rPr>
        <w:t xml:space="preserve"> lowe</w:t>
      </w:r>
      <w:r w:rsidR="00D30E32">
        <w:rPr>
          <w:rFonts w:asciiTheme="majorBidi" w:eastAsia="Times New Roman" w:hAnsiTheme="majorBidi" w:cstheme="majorBidi"/>
        </w:rPr>
        <w:t>r</w:t>
      </w:r>
      <w:r w:rsidRPr="00B55CD8">
        <w:rPr>
          <w:rFonts w:asciiTheme="majorBidi" w:eastAsia="Times New Roman" w:hAnsiTheme="majorBidi" w:cstheme="majorBidi"/>
        </w:rPr>
        <w:t xml:space="preserve"> global GHG emissions, it is important to know which countries have the greatest impact. A few patterns are noticeable when evaluating cumulative historical emissions from 1850 to 2020</w:t>
      </w:r>
      <w:r w:rsidR="00CE03AE">
        <w:rPr>
          <w:rFonts w:asciiTheme="majorBidi" w:eastAsia="Times New Roman" w:hAnsiTheme="majorBidi" w:cstheme="majorBidi"/>
        </w:rPr>
        <w:t xml:space="preserve">. </w:t>
      </w:r>
      <w:r w:rsidRPr="00B55CD8">
        <w:rPr>
          <w:rFonts w:asciiTheme="majorBidi" w:eastAsia="Times New Roman" w:hAnsiTheme="majorBidi" w:cstheme="majorBidi"/>
        </w:rPr>
        <w:t xml:space="preserve">Ten countries </w:t>
      </w:r>
      <w:r w:rsidR="0030531C" w:rsidRPr="00B55CD8">
        <w:rPr>
          <w:rFonts w:asciiTheme="majorBidi" w:eastAsia="Times New Roman" w:hAnsiTheme="majorBidi" w:cstheme="majorBidi"/>
        </w:rPr>
        <w:t xml:space="preserve">have the greatest cumulative </w:t>
      </w:r>
      <w:r w:rsidR="00373321">
        <w:rPr>
          <w:rFonts w:asciiTheme="majorBidi" w:eastAsia="Times New Roman" w:hAnsiTheme="majorBidi" w:cstheme="majorBidi"/>
        </w:rPr>
        <w:t>emissions over th</w:t>
      </w:r>
      <w:r w:rsidR="0030531C" w:rsidRPr="00B55CD8">
        <w:rPr>
          <w:rFonts w:asciiTheme="majorBidi" w:eastAsia="Times New Roman" w:hAnsiTheme="majorBidi" w:cstheme="majorBidi"/>
        </w:rPr>
        <w:t xml:space="preserve">e period </w:t>
      </w:r>
      <w:r w:rsidRPr="00B55CD8">
        <w:rPr>
          <w:rFonts w:asciiTheme="majorBidi" w:eastAsia="Times New Roman" w:hAnsiTheme="majorBidi" w:cstheme="majorBidi"/>
        </w:rPr>
        <w:t xml:space="preserve">(in descending order): the United States, China, Russia, India, Germany, the United Kingdom, Japan, France, </w:t>
      </w:r>
      <w:r w:rsidR="007C799D" w:rsidRPr="00B55CD8">
        <w:rPr>
          <w:rFonts w:asciiTheme="majorBidi" w:eastAsia="Times New Roman" w:hAnsiTheme="majorBidi" w:cstheme="majorBidi"/>
        </w:rPr>
        <w:t>Ukraine,</w:t>
      </w:r>
      <w:r w:rsidRPr="00B55CD8">
        <w:rPr>
          <w:rFonts w:asciiTheme="majorBidi" w:eastAsia="Times New Roman" w:hAnsiTheme="majorBidi" w:cstheme="majorBidi"/>
        </w:rPr>
        <w:t xml:space="preserve"> and Brazil</w:t>
      </w:r>
      <w:r w:rsidR="004E4501">
        <w:rPr>
          <w:rFonts w:asciiTheme="majorBidi" w:eastAsia="Times New Roman" w:hAnsiTheme="majorBidi" w:cstheme="majorBidi"/>
        </w:rPr>
        <w:t xml:space="preserve">. </w:t>
      </w:r>
      <w:r w:rsidR="00CE03AE">
        <w:rPr>
          <w:rFonts w:asciiTheme="majorBidi" w:eastAsia="Times New Roman" w:hAnsiTheme="majorBidi" w:cstheme="majorBidi"/>
        </w:rPr>
        <w:t xml:space="preserve">Figure </w:t>
      </w:r>
      <w:r w:rsidR="00322F3F">
        <w:rPr>
          <w:rFonts w:asciiTheme="majorBidi" w:eastAsia="Times New Roman" w:hAnsiTheme="majorBidi" w:cstheme="majorBidi"/>
        </w:rPr>
        <w:t>2</w:t>
      </w:r>
      <w:r w:rsidR="004E4501">
        <w:rPr>
          <w:rFonts w:asciiTheme="majorBidi" w:eastAsia="Times New Roman" w:hAnsiTheme="majorBidi" w:cstheme="majorBidi"/>
        </w:rPr>
        <w:t xml:space="preserve"> shows the share of global emissions each of these </w:t>
      </w:r>
      <w:r w:rsidR="00BB1AB6">
        <w:rPr>
          <w:rFonts w:asciiTheme="majorBidi" w:eastAsia="Times New Roman" w:hAnsiTheme="majorBidi" w:cstheme="majorBidi"/>
        </w:rPr>
        <w:t>ten countries make up each year, with all other countries grouped together as “All Others”, f</w:t>
      </w:r>
      <w:r w:rsidR="0030531C" w:rsidRPr="00B55CD8">
        <w:rPr>
          <w:rFonts w:asciiTheme="majorBidi" w:eastAsia="Times New Roman" w:hAnsiTheme="majorBidi" w:cstheme="majorBidi"/>
        </w:rPr>
        <w:t xml:space="preserve">rom </w:t>
      </w:r>
      <w:r w:rsidR="0030531C" w:rsidRPr="00717FDE">
        <w:rPr>
          <w:rFonts w:asciiTheme="majorBidi" w:eastAsia="Times New Roman" w:hAnsiTheme="majorBidi" w:cstheme="majorBidi"/>
        </w:rPr>
        <w:t>1950</w:t>
      </w:r>
      <w:r w:rsidR="0030531C" w:rsidRPr="00B55CD8">
        <w:rPr>
          <w:rFonts w:asciiTheme="majorBidi" w:eastAsia="Times New Roman" w:hAnsiTheme="majorBidi" w:cstheme="majorBidi"/>
        </w:rPr>
        <w:t xml:space="preserve"> – 2020</w:t>
      </w:r>
      <w:r w:rsidR="00BB1AB6">
        <w:rPr>
          <w:rFonts w:asciiTheme="majorBidi" w:eastAsia="Times New Roman" w:hAnsiTheme="majorBidi" w:cstheme="majorBidi"/>
        </w:rPr>
        <w:t>. In this period,</w:t>
      </w:r>
      <w:r w:rsidR="0030531C" w:rsidRPr="00B55CD8">
        <w:rPr>
          <w:rFonts w:asciiTheme="majorBidi" w:eastAsia="Times New Roman" w:hAnsiTheme="majorBidi" w:cstheme="majorBidi"/>
        </w:rPr>
        <w:t xml:space="preserve"> these ten countries accounted for roughly 50%</w:t>
      </w:r>
      <w:r w:rsidR="007F7910">
        <w:rPr>
          <w:rFonts w:asciiTheme="majorBidi" w:eastAsia="Times New Roman" w:hAnsiTheme="majorBidi" w:cstheme="majorBidi"/>
        </w:rPr>
        <w:t xml:space="preserve"> or more</w:t>
      </w:r>
      <w:r w:rsidR="0030531C" w:rsidRPr="00B55CD8">
        <w:rPr>
          <w:rFonts w:asciiTheme="majorBidi" w:eastAsia="Times New Roman" w:hAnsiTheme="majorBidi" w:cstheme="majorBidi"/>
        </w:rPr>
        <w:t xml:space="preserve"> of</w:t>
      </w:r>
      <w:r w:rsidR="00373321">
        <w:rPr>
          <w:rFonts w:asciiTheme="majorBidi" w:eastAsia="Times New Roman" w:hAnsiTheme="majorBidi" w:cstheme="majorBidi"/>
        </w:rPr>
        <w:t xml:space="preserve"> yearly</w:t>
      </w:r>
      <w:r w:rsidR="0030531C" w:rsidRPr="00B55CD8">
        <w:rPr>
          <w:rFonts w:asciiTheme="majorBidi" w:eastAsia="Times New Roman" w:hAnsiTheme="majorBidi" w:cstheme="majorBidi"/>
        </w:rPr>
        <w:t xml:space="preserve"> global emission</w:t>
      </w:r>
      <w:r w:rsidR="00373321">
        <w:rPr>
          <w:rFonts w:asciiTheme="majorBidi" w:eastAsia="Times New Roman" w:hAnsiTheme="majorBidi" w:cstheme="majorBidi"/>
        </w:rPr>
        <w:t>s</w:t>
      </w:r>
      <w:r w:rsidR="0030531C" w:rsidRPr="00B55CD8">
        <w:rPr>
          <w:rFonts w:asciiTheme="majorBidi" w:eastAsia="Times New Roman" w:hAnsiTheme="majorBidi" w:cstheme="majorBidi"/>
        </w:rPr>
        <w:t>.</w:t>
      </w:r>
      <w:r w:rsidR="00BB1AB6">
        <w:rPr>
          <w:rFonts w:asciiTheme="majorBidi" w:eastAsia="Times New Roman" w:hAnsiTheme="majorBidi" w:cstheme="majorBidi"/>
        </w:rPr>
        <w:t xml:space="preserve"> The widening or narrowing of each country’s area on the graph reflects increases or decreases in yearly emissions over time.</w:t>
      </w:r>
    </w:p>
    <w:p w14:paraId="25FC79AA" w14:textId="77777777" w:rsidR="00322F3F" w:rsidRDefault="00322F3F" w:rsidP="00322F3F">
      <w:pPr>
        <w:keepNext/>
        <w:spacing w:after="0"/>
        <w:jc w:val="center"/>
      </w:pPr>
      <w:r>
        <w:rPr>
          <w:noProof/>
        </w:rPr>
        <w:drawing>
          <wp:inline distT="0" distB="0" distL="0" distR="0" wp14:anchorId="2399794E" wp14:editId="51CF6E51">
            <wp:extent cx="3751367" cy="2792896"/>
            <wp:effectExtent l="0" t="0" r="1905" b="7620"/>
            <wp:docPr id="1760680156" name="Picture 2" descr="A graph of growth in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0156" name="Picture 2" descr="A graph of growth in different colo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764981" cy="2803031"/>
                    </a:xfrm>
                    <a:prstGeom prst="rect">
                      <a:avLst/>
                    </a:prstGeom>
                  </pic:spPr>
                </pic:pic>
              </a:graphicData>
            </a:graphic>
          </wp:inline>
        </w:drawing>
      </w:r>
    </w:p>
    <w:p w14:paraId="0634786C" w14:textId="76E46643" w:rsidR="00322F3F" w:rsidRPr="00322F3F" w:rsidRDefault="00322F3F" w:rsidP="00322F3F">
      <w:pPr>
        <w:pStyle w:val="Caption"/>
        <w:spacing w:after="120"/>
        <w:ind w:left="720" w:firstLine="720"/>
        <w:rPr>
          <w:rFonts w:ascii="Fira Sans Condensed" w:hAnsi="Fira Sans Condensed" w:cstheme="majorBidi"/>
          <w:sz w:val="16"/>
          <w:szCs w:val="16"/>
        </w:rPr>
      </w:pPr>
      <w:r>
        <w:rPr>
          <w:rFonts w:ascii="Fira Sans Condensed" w:hAnsi="Fira Sans Condensed" w:cstheme="majorBidi"/>
          <w:sz w:val="16"/>
          <w:szCs w:val="16"/>
        </w:rPr>
        <w:t xml:space="preserve">        </w:t>
      </w:r>
      <w:r w:rsidRPr="00322F3F">
        <w:rPr>
          <w:rFonts w:ascii="Fira Sans Condensed" w:hAnsi="Fira Sans Condensed" w:cstheme="majorBidi"/>
          <w:sz w:val="16"/>
          <w:szCs w:val="16"/>
        </w:rPr>
        <w:t xml:space="preserve">Figure </w:t>
      </w:r>
      <w:r w:rsidRPr="00322F3F">
        <w:rPr>
          <w:rFonts w:ascii="Fira Sans Condensed" w:hAnsi="Fira Sans Condensed" w:cstheme="majorBidi"/>
          <w:sz w:val="16"/>
          <w:szCs w:val="16"/>
        </w:rPr>
        <w:fldChar w:fldCharType="begin"/>
      </w:r>
      <w:r w:rsidRPr="00322F3F">
        <w:rPr>
          <w:rFonts w:ascii="Fira Sans Condensed" w:hAnsi="Fira Sans Condensed" w:cstheme="majorBidi"/>
          <w:sz w:val="16"/>
          <w:szCs w:val="16"/>
        </w:rPr>
        <w:instrText xml:space="preserve"> SEQ Figure \* ARABIC </w:instrText>
      </w:r>
      <w:r w:rsidRPr="00322F3F">
        <w:rPr>
          <w:rFonts w:ascii="Fira Sans Condensed" w:hAnsi="Fira Sans Condensed" w:cstheme="majorBidi"/>
          <w:sz w:val="16"/>
          <w:szCs w:val="16"/>
        </w:rPr>
        <w:fldChar w:fldCharType="separate"/>
      </w:r>
      <w:r w:rsidR="005F141F">
        <w:rPr>
          <w:rFonts w:ascii="Fira Sans Condensed" w:hAnsi="Fira Sans Condensed" w:cstheme="majorBidi"/>
          <w:noProof/>
          <w:sz w:val="16"/>
          <w:szCs w:val="16"/>
        </w:rPr>
        <w:t>2</w:t>
      </w:r>
      <w:r w:rsidRPr="00322F3F">
        <w:rPr>
          <w:rFonts w:ascii="Fira Sans Condensed" w:hAnsi="Fira Sans Condensed" w:cstheme="majorBidi"/>
          <w:sz w:val="16"/>
          <w:szCs w:val="16"/>
        </w:rPr>
        <w:fldChar w:fldCharType="end"/>
      </w:r>
    </w:p>
    <w:p w14:paraId="3E941C0E" w14:textId="516534B6" w:rsidR="00C17545" w:rsidRPr="00B55CD8" w:rsidRDefault="00CE03AE" w:rsidP="00F11D79">
      <w:pPr>
        <w:spacing w:after="240" w:line="240" w:lineRule="auto"/>
        <w:rPr>
          <w:rFonts w:asciiTheme="majorBidi" w:eastAsia="Times New Roman" w:hAnsiTheme="majorBidi" w:cstheme="majorBidi"/>
        </w:rPr>
      </w:pPr>
      <w:r>
        <w:rPr>
          <w:rFonts w:asciiTheme="majorBidi" w:eastAsia="Times New Roman" w:hAnsiTheme="majorBidi" w:cstheme="majorBidi"/>
        </w:rPr>
        <w:t>The United States</w:t>
      </w:r>
      <w:r w:rsidR="0030531C" w:rsidRPr="00B55CD8">
        <w:rPr>
          <w:rFonts w:asciiTheme="majorBidi" w:eastAsia="Times New Roman" w:hAnsiTheme="majorBidi" w:cstheme="majorBidi"/>
        </w:rPr>
        <w:t xml:space="preserve"> saw its </w:t>
      </w:r>
      <w:r w:rsidR="002712FF">
        <w:rPr>
          <w:rFonts w:asciiTheme="majorBidi" w:eastAsia="Times New Roman" w:hAnsiTheme="majorBidi" w:cstheme="majorBidi"/>
        </w:rPr>
        <w:t>most significant</w:t>
      </w:r>
      <w:r w:rsidR="0030531C" w:rsidRPr="00B55CD8">
        <w:rPr>
          <w:rFonts w:asciiTheme="majorBidi" w:eastAsia="Times New Roman" w:hAnsiTheme="majorBidi" w:cstheme="majorBidi"/>
        </w:rPr>
        <w:t xml:space="preserve"> </w:t>
      </w:r>
      <w:r w:rsidR="007C799D">
        <w:rPr>
          <w:rFonts w:asciiTheme="majorBidi" w:eastAsia="Times New Roman" w:hAnsiTheme="majorBidi" w:cstheme="majorBidi"/>
        </w:rPr>
        <w:t>changes</w:t>
      </w:r>
      <w:r w:rsidR="0030531C" w:rsidRPr="00B55CD8">
        <w:rPr>
          <w:rFonts w:asciiTheme="majorBidi" w:eastAsia="Times New Roman" w:hAnsiTheme="majorBidi" w:cstheme="majorBidi"/>
        </w:rPr>
        <w:t xml:space="preserve"> </w:t>
      </w:r>
      <w:r w:rsidR="00D70797">
        <w:rPr>
          <w:rFonts w:asciiTheme="majorBidi" w:eastAsia="Times New Roman" w:hAnsiTheme="majorBidi" w:cstheme="majorBidi"/>
        </w:rPr>
        <w:t xml:space="preserve">from the 1870s to </w:t>
      </w:r>
      <w:r w:rsidR="007F7910">
        <w:rPr>
          <w:rFonts w:asciiTheme="majorBidi" w:eastAsia="Times New Roman" w:hAnsiTheme="majorBidi" w:cstheme="majorBidi"/>
        </w:rPr>
        <w:t xml:space="preserve">the </w:t>
      </w:r>
      <w:r w:rsidR="00D70797">
        <w:rPr>
          <w:rFonts w:asciiTheme="majorBidi" w:eastAsia="Times New Roman" w:hAnsiTheme="majorBidi" w:cstheme="majorBidi"/>
        </w:rPr>
        <w:t>early 1</w:t>
      </w:r>
      <w:r w:rsidR="007F7910">
        <w:rPr>
          <w:rFonts w:asciiTheme="majorBidi" w:eastAsia="Times New Roman" w:hAnsiTheme="majorBidi" w:cstheme="majorBidi"/>
        </w:rPr>
        <w:t>9</w:t>
      </w:r>
      <w:r w:rsidR="00D70797">
        <w:rPr>
          <w:rFonts w:asciiTheme="majorBidi" w:eastAsia="Times New Roman" w:hAnsiTheme="majorBidi" w:cstheme="majorBidi"/>
        </w:rPr>
        <w:t xml:space="preserve">70s. </w:t>
      </w:r>
      <w:r w:rsidR="00C17545" w:rsidRPr="00B55CD8">
        <w:rPr>
          <w:rFonts w:asciiTheme="majorBidi" w:eastAsia="Times New Roman" w:hAnsiTheme="majorBidi" w:cstheme="majorBidi"/>
        </w:rPr>
        <w:t>As one of the first countries to industrialize and liberalize its economy, the composition of the United States</w:t>
      </w:r>
      <w:r w:rsidR="002712FF">
        <w:rPr>
          <w:rFonts w:asciiTheme="majorBidi" w:eastAsia="Times New Roman" w:hAnsiTheme="majorBidi" w:cstheme="majorBidi"/>
        </w:rPr>
        <w:t>'</w:t>
      </w:r>
      <w:r w:rsidR="00C17545" w:rsidRPr="00B55CD8">
        <w:rPr>
          <w:rFonts w:asciiTheme="majorBidi" w:eastAsia="Times New Roman" w:hAnsiTheme="majorBidi" w:cstheme="majorBidi"/>
        </w:rPr>
        <w:t xml:space="preserve">s economic activity has not seen major change </w:t>
      </w:r>
      <w:r w:rsidR="00D70797">
        <w:rPr>
          <w:rFonts w:asciiTheme="majorBidi" w:eastAsia="Times New Roman" w:hAnsiTheme="majorBidi" w:cstheme="majorBidi"/>
        </w:rPr>
        <w:t>in the last half</w:t>
      </w:r>
      <w:r w:rsidR="007F7910">
        <w:rPr>
          <w:rFonts w:asciiTheme="majorBidi" w:eastAsia="Times New Roman" w:hAnsiTheme="majorBidi" w:cstheme="majorBidi"/>
        </w:rPr>
        <w:t>-</w:t>
      </w:r>
      <w:r w:rsidR="00D70797">
        <w:rPr>
          <w:rFonts w:asciiTheme="majorBidi" w:eastAsia="Times New Roman" w:hAnsiTheme="majorBidi" w:cstheme="majorBidi"/>
        </w:rPr>
        <w:t>century</w:t>
      </w:r>
      <w:r w:rsidR="00C17545" w:rsidRPr="00B55CD8">
        <w:rPr>
          <w:rFonts w:asciiTheme="majorBidi" w:eastAsia="Times New Roman" w:hAnsiTheme="majorBidi" w:cstheme="majorBidi"/>
        </w:rPr>
        <w:t>.</w:t>
      </w:r>
      <w:r>
        <w:rPr>
          <w:rFonts w:asciiTheme="majorBidi" w:eastAsia="Times New Roman" w:hAnsiTheme="majorBidi" w:cstheme="majorBidi"/>
        </w:rPr>
        <w:t xml:space="preserve"> We see this reflected in the graph:</w:t>
      </w:r>
      <w:r w:rsidR="00C17545" w:rsidRPr="00B55CD8">
        <w:rPr>
          <w:rFonts w:asciiTheme="majorBidi" w:eastAsia="Times New Roman" w:hAnsiTheme="majorBidi" w:cstheme="majorBidi"/>
        </w:rPr>
        <w:t xml:space="preserve"> </w:t>
      </w:r>
      <w:r w:rsidRPr="00B55CD8">
        <w:rPr>
          <w:rFonts w:asciiTheme="majorBidi" w:eastAsia="Times New Roman" w:hAnsiTheme="majorBidi" w:cstheme="majorBidi"/>
        </w:rPr>
        <w:t>Over the last 40 years, the United States</w:t>
      </w:r>
      <w:r>
        <w:rPr>
          <w:rFonts w:asciiTheme="majorBidi" w:eastAsia="Times New Roman" w:hAnsiTheme="majorBidi" w:cstheme="majorBidi"/>
        </w:rPr>
        <w:t>'</w:t>
      </w:r>
      <w:r w:rsidRPr="00B55CD8">
        <w:rPr>
          <w:rFonts w:asciiTheme="majorBidi" w:eastAsia="Times New Roman" w:hAnsiTheme="majorBidi" w:cstheme="majorBidi"/>
        </w:rPr>
        <w:t xml:space="preserve">s yearly emissions have </w:t>
      </w:r>
      <w:r>
        <w:rPr>
          <w:rFonts w:asciiTheme="majorBidi" w:eastAsia="Times New Roman" w:hAnsiTheme="majorBidi" w:cstheme="majorBidi"/>
        </w:rPr>
        <w:t>increased slightly but have held relatively consistently</w:t>
      </w:r>
      <w:r w:rsidRPr="00B55CD8">
        <w:rPr>
          <w:rFonts w:asciiTheme="majorBidi" w:eastAsia="Times New Roman" w:hAnsiTheme="majorBidi" w:cstheme="majorBidi"/>
        </w:rPr>
        <w:t>.</w:t>
      </w:r>
      <w:r>
        <w:rPr>
          <w:rFonts w:asciiTheme="majorBidi" w:eastAsia="Times New Roman" w:hAnsiTheme="majorBidi" w:cstheme="majorBidi"/>
        </w:rPr>
        <w:t xml:space="preserve"> </w:t>
      </w:r>
      <w:r w:rsidR="00C17545" w:rsidRPr="00B55CD8">
        <w:rPr>
          <w:rFonts w:asciiTheme="majorBidi" w:eastAsia="Times New Roman" w:hAnsiTheme="majorBidi" w:cstheme="majorBidi"/>
        </w:rPr>
        <w:t>Fellow early-industrializers that made the list include France, Germany, and the United Kingdom.</w:t>
      </w:r>
      <w:r>
        <w:rPr>
          <w:rFonts w:asciiTheme="majorBidi" w:eastAsia="Times New Roman" w:hAnsiTheme="majorBidi" w:cstheme="majorBidi"/>
        </w:rPr>
        <w:t xml:space="preserve"> By contrast, </w:t>
      </w:r>
      <w:r w:rsidR="00C17545" w:rsidRPr="00B55CD8">
        <w:rPr>
          <w:rFonts w:asciiTheme="majorBidi" w:eastAsia="Times New Roman" w:hAnsiTheme="majorBidi" w:cstheme="majorBidi"/>
        </w:rPr>
        <w:t>China, and India</w:t>
      </w:r>
      <w:r>
        <w:rPr>
          <w:rFonts w:asciiTheme="majorBidi" w:eastAsia="Times New Roman" w:hAnsiTheme="majorBidi" w:cstheme="majorBidi"/>
        </w:rPr>
        <w:t xml:space="preserve">, </w:t>
      </w:r>
      <w:r w:rsidR="00C17545" w:rsidRPr="00B55CD8">
        <w:rPr>
          <w:rFonts w:asciiTheme="majorBidi" w:eastAsia="Times New Roman" w:hAnsiTheme="majorBidi" w:cstheme="majorBidi"/>
        </w:rPr>
        <w:t>to a lesser extent</w:t>
      </w:r>
      <w:r>
        <w:rPr>
          <w:rFonts w:asciiTheme="majorBidi" w:eastAsia="Times New Roman" w:hAnsiTheme="majorBidi" w:cstheme="majorBidi"/>
        </w:rPr>
        <w:t>,</w:t>
      </w:r>
      <w:r w:rsidR="00C17545" w:rsidRPr="00B55CD8">
        <w:rPr>
          <w:rFonts w:asciiTheme="majorBidi" w:eastAsia="Times New Roman" w:hAnsiTheme="majorBidi" w:cstheme="majorBidi"/>
        </w:rPr>
        <w:t xml:space="preserve"> show</w:t>
      </w:r>
      <w:r>
        <w:rPr>
          <w:rFonts w:asciiTheme="majorBidi" w:eastAsia="Times New Roman" w:hAnsiTheme="majorBidi" w:cstheme="majorBidi"/>
        </w:rPr>
        <w:t xml:space="preserve"> </w:t>
      </w:r>
      <w:r w:rsidR="00C17545" w:rsidRPr="00B55CD8">
        <w:rPr>
          <w:rFonts w:asciiTheme="majorBidi" w:eastAsia="Times New Roman" w:hAnsiTheme="majorBidi" w:cstheme="majorBidi"/>
        </w:rPr>
        <w:t>increase</w:t>
      </w:r>
      <w:r>
        <w:rPr>
          <w:rFonts w:asciiTheme="majorBidi" w:eastAsia="Times New Roman" w:hAnsiTheme="majorBidi" w:cstheme="majorBidi"/>
        </w:rPr>
        <w:t>s</w:t>
      </w:r>
      <w:r w:rsidR="00C17545" w:rsidRPr="00B55CD8">
        <w:rPr>
          <w:rFonts w:asciiTheme="majorBidi" w:eastAsia="Times New Roman" w:hAnsiTheme="majorBidi" w:cstheme="majorBidi"/>
        </w:rPr>
        <w:t xml:space="preserve"> over the same period, </w:t>
      </w:r>
      <w:r>
        <w:rPr>
          <w:rFonts w:asciiTheme="majorBidi" w:eastAsia="Times New Roman" w:hAnsiTheme="majorBidi" w:cstheme="majorBidi"/>
        </w:rPr>
        <w:t>rising</w:t>
      </w:r>
      <w:r w:rsidR="00C17545" w:rsidRPr="00B55CD8">
        <w:rPr>
          <w:rFonts w:asciiTheme="majorBidi" w:eastAsia="Times New Roman" w:hAnsiTheme="majorBidi" w:cstheme="majorBidi"/>
        </w:rPr>
        <w:t xml:space="preserve"> significantly around the turn of the</w:t>
      </w:r>
      <w:r>
        <w:rPr>
          <w:rFonts w:asciiTheme="majorBidi" w:eastAsia="Times New Roman" w:hAnsiTheme="majorBidi" w:cstheme="majorBidi"/>
        </w:rPr>
        <w:t xml:space="preserve"> 21st</w:t>
      </w:r>
      <w:r w:rsidR="00C17545" w:rsidRPr="00B55CD8">
        <w:rPr>
          <w:rFonts w:asciiTheme="majorBidi" w:eastAsia="Times New Roman" w:hAnsiTheme="majorBidi" w:cstheme="majorBidi"/>
        </w:rPr>
        <w:t xml:space="preserve"> century. Th</w:t>
      </w:r>
      <w:r>
        <w:rPr>
          <w:rFonts w:asciiTheme="majorBidi" w:eastAsia="Times New Roman" w:hAnsiTheme="majorBidi" w:cstheme="majorBidi"/>
        </w:rPr>
        <w:t>ese</w:t>
      </w:r>
      <w:r w:rsidR="00C17545" w:rsidRPr="00B55CD8">
        <w:rPr>
          <w:rFonts w:asciiTheme="majorBidi" w:eastAsia="Times New Roman" w:hAnsiTheme="majorBidi" w:cstheme="majorBidi"/>
        </w:rPr>
        <w:t xml:space="preserve"> </w:t>
      </w:r>
      <w:r w:rsidR="00373321">
        <w:rPr>
          <w:rFonts w:asciiTheme="majorBidi" w:eastAsia="Times New Roman" w:hAnsiTheme="majorBidi" w:cstheme="majorBidi"/>
        </w:rPr>
        <w:t>increase</w:t>
      </w:r>
      <w:r>
        <w:rPr>
          <w:rFonts w:asciiTheme="majorBidi" w:eastAsia="Times New Roman" w:hAnsiTheme="majorBidi" w:cstheme="majorBidi"/>
        </w:rPr>
        <w:t>s</w:t>
      </w:r>
      <w:r w:rsidR="00373321">
        <w:rPr>
          <w:rFonts w:asciiTheme="majorBidi" w:eastAsia="Times New Roman" w:hAnsiTheme="majorBidi" w:cstheme="majorBidi"/>
        </w:rPr>
        <w:t xml:space="preserve"> </w:t>
      </w:r>
      <w:r>
        <w:rPr>
          <w:rFonts w:asciiTheme="majorBidi" w:eastAsia="Times New Roman" w:hAnsiTheme="majorBidi" w:cstheme="majorBidi"/>
        </w:rPr>
        <w:t xml:space="preserve">in emissions </w:t>
      </w:r>
      <w:r w:rsidR="00373321">
        <w:rPr>
          <w:rFonts w:asciiTheme="majorBidi" w:eastAsia="Times New Roman" w:hAnsiTheme="majorBidi" w:cstheme="majorBidi"/>
        </w:rPr>
        <w:t>reflect</w:t>
      </w:r>
      <w:r w:rsidR="00C17545" w:rsidRPr="00B55CD8">
        <w:rPr>
          <w:rFonts w:asciiTheme="majorBidi" w:eastAsia="Times New Roman" w:hAnsiTheme="majorBidi" w:cstheme="majorBidi"/>
        </w:rPr>
        <w:t xml:space="preserve"> the countries</w:t>
      </w:r>
      <w:r w:rsidR="002712FF">
        <w:rPr>
          <w:rFonts w:asciiTheme="majorBidi" w:eastAsia="Times New Roman" w:hAnsiTheme="majorBidi" w:cstheme="majorBidi"/>
        </w:rPr>
        <w:t>'</w:t>
      </w:r>
      <w:r w:rsidR="00C17545" w:rsidRPr="00B55CD8">
        <w:rPr>
          <w:rFonts w:asciiTheme="majorBidi" w:eastAsia="Times New Roman" w:hAnsiTheme="majorBidi" w:cstheme="majorBidi"/>
        </w:rPr>
        <w:t xml:space="preserve"> efforts to rapidly industrialize in recent decades and open their economies to global markets.</w:t>
      </w:r>
    </w:p>
    <w:p w14:paraId="09EC3364" w14:textId="77777777" w:rsidR="00CE03AE" w:rsidRDefault="00C17545"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Population plays an </w:t>
      </w:r>
      <w:r w:rsidR="002712FF">
        <w:rPr>
          <w:rFonts w:asciiTheme="majorBidi" w:eastAsia="Times New Roman" w:hAnsiTheme="majorBidi" w:cstheme="majorBidi"/>
        </w:rPr>
        <w:t>essential</w:t>
      </w:r>
      <w:r w:rsidRPr="00B55CD8">
        <w:rPr>
          <w:rFonts w:asciiTheme="majorBidi" w:eastAsia="Times New Roman" w:hAnsiTheme="majorBidi" w:cstheme="majorBidi"/>
        </w:rPr>
        <w:t xml:space="preserve"> role as well. </w:t>
      </w:r>
      <w:r w:rsidR="007F7910">
        <w:rPr>
          <w:rFonts w:asciiTheme="majorBidi" w:eastAsia="Times New Roman" w:hAnsiTheme="majorBidi" w:cstheme="majorBidi"/>
        </w:rPr>
        <w:t>I</w:t>
      </w:r>
      <w:r w:rsidRPr="00B55CD8">
        <w:rPr>
          <w:rFonts w:asciiTheme="majorBidi" w:eastAsia="Times New Roman" w:hAnsiTheme="majorBidi" w:cstheme="majorBidi"/>
        </w:rPr>
        <w:t xml:space="preserve">f this data </w:t>
      </w:r>
      <w:r w:rsidR="007C799D" w:rsidRPr="00B55CD8">
        <w:rPr>
          <w:rFonts w:asciiTheme="majorBidi" w:eastAsia="Times New Roman" w:hAnsiTheme="majorBidi" w:cstheme="majorBidi"/>
        </w:rPr>
        <w:t>were</w:t>
      </w:r>
      <w:r w:rsidRPr="00B55CD8">
        <w:rPr>
          <w:rFonts w:asciiTheme="majorBidi" w:eastAsia="Times New Roman" w:hAnsiTheme="majorBidi" w:cstheme="majorBidi"/>
        </w:rPr>
        <w:t xml:space="preserve"> represented in emissions per capita, it could significantly change the composition of these rankings. The United States, China, and India occupy large, densely populated territories. The United States has a large, relatively stable population</w:t>
      </w:r>
      <w:r w:rsidR="007F7910">
        <w:rPr>
          <w:rFonts w:asciiTheme="majorBidi" w:eastAsia="Times New Roman" w:hAnsiTheme="majorBidi" w:cstheme="majorBidi"/>
        </w:rPr>
        <w:t>. W</w:t>
      </w:r>
      <w:r w:rsidRPr="00B55CD8">
        <w:rPr>
          <w:rFonts w:asciiTheme="majorBidi" w:eastAsia="Times New Roman" w:hAnsiTheme="majorBidi" w:cstheme="majorBidi"/>
        </w:rPr>
        <w:t xml:space="preserve">hile China and India </w:t>
      </w:r>
      <w:r w:rsidR="007F7910">
        <w:rPr>
          <w:rFonts w:asciiTheme="majorBidi" w:eastAsia="Times New Roman" w:hAnsiTheme="majorBidi" w:cstheme="majorBidi"/>
        </w:rPr>
        <w:t>also</w:t>
      </w:r>
      <w:r w:rsidRPr="00B55CD8">
        <w:rPr>
          <w:rFonts w:asciiTheme="majorBidi" w:eastAsia="Times New Roman" w:hAnsiTheme="majorBidi" w:cstheme="majorBidi"/>
        </w:rPr>
        <w:t xml:space="preserve"> have large populations,</w:t>
      </w:r>
      <w:r w:rsidR="007F7910">
        <w:rPr>
          <w:rFonts w:asciiTheme="majorBidi" w:eastAsia="Times New Roman" w:hAnsiTheme="majorBidi" w:cstheme="majorBidi"/>
        </w:rPr>
        <w:t xml:space="preserve"> they </w:t>
      </w:r>
      <w:r w:rsidRPr="00B55CD8">
        <w:rPr>
          <w:rFonts w:asciiTheme="majorBidi" w:eastAsia="Times New Roman" w:hAnsiTheme="majorBidi" w:cstheme="majorBidi"/>
        </w:rPr>
        <w:t>saw their</w:t>
      </w:r>
      <w:r w:rsidR="00CE03AE">
        <w:rPr>
          <w:rFonts w:asciiTheme="majorBidi" w:eastAsia="Times New Roman" w:hAnsiTheme="majorBidi" w:cstheme="majorBidi"/>
        </w:rPr>
        <w:t>s</w:t>
      </w:r>
      <w:r w:rsidR="007F7910">
        <w:rPr>
          <w:rFonts w:asciiTheme="majorBidi" w:eastAsia="Times New Roman" w:hAnsiTheme="majorBidi" w:cstheme="majorBidi"/>
        </w:rPr>
        <w:t xml:space="preserve"> </w:t>
      </w:r>
      <w:r w:rsidRPr="00B55CD8">
        <w:rPr>
          <w:rFonts w:asciiTheme="majorBidi" w:eastAsia="Times New Roman" w:hAnsiTheme="majorBidi" w:cstheme="majorBidi"/>
        </w:rPr>
        <w:t>boom in the latter half of the twentieth century. A large share of these countries</w:t>
      </w:r>
      <w:r w:rsidR="002712FF">
        <w:rPr>
          <w:rFonts w:asciiTheme="majorBidi" w:eastAsia="Times New Roman" w:hAnsiTheme="majorBidi" w:cstheme="majorBidi"/>
        </w:rPr>
        <w:t>'</w:t>
      </w:r>
      <w:r w:rsidRPr="00B55CD8">
        <w:rPr>
          <w:rFonts w:asciiTheme="majorBidi" w:eastAsia="Times New Roman" w:hAnsiTheme="majorBidi" w:cstheme="majorBidi"/>
        </w:rPr>
        <w:t xml:space="preserve"> emissions </w:t>
      </w:r>
      <w:r w:rsidR="007C799D">
        <w:rPr>
          <w:rFonts w:asciiTheme="majorBidi" w:eastAsia="Times New Roman" w:hAnsiTheme="majorBidi" w:cstheme="majorBidi"/>
        </w:rPr>
        <w:t>is</w:t>
      </w:r>
      <w:r w:rsidR="007F7910">
        <w:rPr>
          <w:rFonts w:asciiTheme="majorBidi" w:eastAsia="Times New Roman" w:hAnsiTheme="majorBidi" w:cstheme="majorBidi"/>
        </w:rPr>
        <w:t xml:space="preserve"> likely,</w:t>
      </w:r>
      <w:r w:rsidRPr="00B55CD8">
        <w:rPr>
          <w:rFonts w:asciiTheme="majorBidi" w:eastAsia="Times New Roman" w:hAnsiTheme="majorBidi" w:cstheme="majorBidi"/>
        </w:rPr>
        <w:t xml:space="preserve"> in part</w:t>
      </w:r>
      <w:r w:rsidR="007F7910">
        <w:rPr>
          <w:rFonts w:asciiTheme="majorBidi" w:eastAsia="Times New Roman" w:hAnsiTheme="majorBidi" w:cstheme="majorBidi"/>
        </w:rPr>
        <w:t xml:space="preserve">, </w:t>
      </w:r>
      <w:r w:rsidRPr="00B55CD8">
        <w:rPr>
          <w:rFonts w:asciiTheme="majorBidi" w:eastAsia="Times New Roman" w:hAnsiTheme="majorBidi" w:cstheme="majorBidi"/>
        </w:rPr>
        <w:t>due to their large populations.</w:t>
      </w:r>
      <w:r w:rsidR="00CE03AE">
        <w:rPr>
          <w:rFonts w:asciiTheme="majorBidi" w:eastAsia="Times New Roman" w:hAnsiTheme="majorBidi" w:cstheme="majorBidi"/>
        </w:rPr>
        <w:t xml:space="preserve"> </w:t>
      </w:r>
    </w:p>
    <w:p w14:paraId="3CB0B801" w14:textId="0C6B42BE" w:rsidR="00AD2AE9" w:rsidRDefault="0030531C"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The combination of early industrialization, a large economy, and a large population </w:t>
      </w:r>
      <w:r w:rsidR="00C35C27" w:rsidRPr="00B55CD8">
        <w:rPr>
          <w:rFonts w:asciiTheme="majorBidi" w:eastAsia="Times New Roman" w:hAnsiTheme="majorBidi" w:cstheme="majorBidi"/>
        </w:rPr>
        <w:t>provide the foundation for the United States being the largest single contributor to Earth</w:t>
      </w:r>
      <w:r w:rsidR="002712FF">
        <w:rPr>
          <w:rFonts w:asciiTheme="majorBidi" w:eastAsia="Times New Roman" w:hAnsiTheme="majorBidi" w:cstheme="majorBidi"/>
        </w:rPr>
        <w:t>'</w:t>
      </w:r>
      <w:r w:rsidR="00C35C27" w:rsidRPr="00B55CD8">
        <w:rPr>
          <w:rFonts w:asciiTheme="majorBidi" w:eastAsia="Times New Roman" w:hAnsiTheme="majorBidi" w:cstheme="majorBidi"/>
        </w:rPr>
        <w:t>s greenhouse gas concentrations since 1850.</w:t>
      </w:r>
    </w:p>
    <w:p w14:paraId="4E1CD0CC" w14:textId="34C77E83" w:rsidR="00322F3F" w:rsidRPr="00F05799" w:rsidRDefault="00322F3F" w:rsidP="00322F3F">
      <w:pPr>
        <w:pStyle w:val="Caption"/>
        <w:keepNext/>
        <w:spacing w:after="60"/>
        <w:ind w:left="1440"/>
        <w:rPr>
          <w:rFonts w:ascii="Fira Sans Condensed" w:hAnsi="Fira Sans Condensed"/>
          <w:sz w:val="16"/>
          <w:szCs w:val="16"/>
        </w:rPr>
      </w:pPr>
      <w:r>
        <w:rPr>
          <w:sz w:val="16"/>
          <w:szCs w:val="16"/>
        </w:rPr>
        <w:lastRenderedPageBreak/>
        <w:t xml:space="preserve">    </w:t>
      </w:r>
      <w:r w:rsidR="0033747D">
        <w:rPr>
          <w:sz w:val="16"/>
          <w:szCs w:val="16"/>
        </w:rPr>
        <w:t xml:space="preserve"> </w:t>
      </w:r>
      <w:r>
        <w:rPr>
          <w:sz w:val="16"/>
          <w:szCs w:val="16"/>
        </w:rPr>
        <w:t xml:space="preserve"> </w:t>
      </w:r>
      <w:bookmarkStart w:id="0" w:name="_Hlk195051901"/>
      <w:r w:rsidRPr="00F05799">
        <w:rPr>
          <w:rFonts w:ascii="Fira Sans Condensed" w:hAnsi="Fira Sans Condensed"/>
          <w:sz w:val="16"/>
          <w:szCs w:val="16"/>
        </w:rPr>
        <w:t>Table 1</w:t>
      </w:r>
      <w:r w:rsidRPr="00F05799">
        <w:rPr>
          <w:rFonts w:ascii="Fira Sans Condensed" w:hAnsi="Fira Sans Condensed"/>
          <w:noProof/>
          <w:sz w:val="16"/>
          <w:szCs w:val="16"/>
        </w:rPr>
        <w:t xml:space="preserve">. Top 10 </w:t>
      </w:r>
      <w:r w:rsidR="00C45DDE">
        <w:rPr>
          <w:rFonts w:ascii="Fira Sans Condensed" w:hAnsi="Fira Sans Condensed"/>
          <w:noProof/>
          <w:sz w:val="16"/>
          <w:szCs w:val="16"/>
        </w:rPr>
        <w:t>Cumulative Emitters, 1850 – 2020</w:t>
      </w:r>
      <w:bookmarkEnd w:id="0"/>
    </w:p>
    <w:p w14:paraId="4BA9D9FE" w14:textId="051B6689" w:rsidR="00322F3F" w:rsidRPr="00322F3F" w:rsidRDefault="00322F3F" w:rsidP="00322F3F">
      <w:pPr>
        <w:spacing w:after="120"/>
        <w:jc w:val="center"/>
      </w:pPr>
      <w:r>
        <w:rPr>
          <w:noProof/>
        </w:rPr>
        <w:drawing>
          <wp:inline distT="0" distB="0" distL="0" distR="0" wp14:anchorId="340BA1D7" wp14:editId="43DC3AD7">
            <wp:extent cx="3886368" cy="1356180"/>
            <wp:effectExtent l="0" t="0" r="0" b="0"/>
            <wp:docPr id="569094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9486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886368" cy="1356180"/>
                    </a:xfrm>
                    <a:prstGeom prst="rect">
                      <a:avLst/>
                    </a:prstGeom>
                  </pic:spPr>
                </pic:pic>
              </a:graphicData>
            </a:graphic>
          </wp:inline>
        </w:drawing>
      </w:r>
    </w:p>
    <w:p w14:paraId="6499A542" w14:textId="27B5E59F" w:rsidR="00286635" w:rsidRDefault="00DD4B93" w:rsidP="0018493C">
      <w:pPr>
        <w:spacing w:after="240" w:line="240" w:lineRule="auto"/>
        <w:rPr>
          <w:rFonts w:asciiTheme="majorBidi" w:eastAsia="Times New Roman" w:hAnsiTheme="majorBidi" w:cstheme="majorBidi"/>
        </w:rPr>
      </w:pPr>
      <w:r>
        <w:rPr>
          <w:rFonts w:asciiTheme="majorBidi" w:eastAsia="Times New Roman" w:hAnsiTheme="majorBidi" w:cstheme="majorBidi"/>
        </w:rPr>
        <w:t xml:space="preserve">The </w:t>
      </w:r>
      <w:r w:rsidR="009C61DB">
        <w:rPr>
          <w:rFonts w:asciiTheme="majorBidi" w:eastAsia="Times New Roman" w:hAnsiTheme="majorBidi" w:cstheme="majorBidi"/>
        </w:rPr>
        <w:t>nations</w:t>
      </w:r>
      <w:r w:rsidR="00A80B29">
        <w:rPr>
          <w:rFonts w:asciiTheme="majorBidi" w:eastAsia="Times New Roman" w:hAnsiTheme="majorBidi" w:cstheme="majorBidi"/>
        </w:rPr>
        <w:t xml:space="preserve"> of focus </w:t>
      </w:r>
      <w:r w:rsidR="004A387D">
        <w:rPr>
          <w:rFonts w:asciiTheme="majorBidi" w:eastAsia="Times New Roman" w:hAnsiTheme="majorBidi" w:cstheme="majorBidi"/>
        </w:rPr>
        <w:t xml:space="preserve">for the projections </w:t>
      </w:r>
      <w:r w:rsidR="009C61DB">
        <w:rPr>
          <w:rFonts w:asciiTheme="majorBidi" w:eastAsia="Times New Roman" w:hAnsiTheme="majorBidi" w:cstheme="majorBidi"/>
        </w:rPr>
        <w:t>w</w:t>
      </w:r>
      <w:r>
        <w:rPr>
          <w:rFonts w:asciiTheme="majorBidi" w:eastAsia="Times New Roman" w:hAnsiTheme="majorBidi" w:cstheme="majorBidi"/>
        </w:rPr>
        <w:t>ere</w:t>
      </w:r>
      <w:r w:rsidR="009C61DB">
        <w:rPr>
          <w:rFonts w:asciiTheme="majorBidi" w:eastAsia="Times New Roman" w:hAnsiTheme="majorBidi" w:cstheme="majorBidi"/>
        </w:rPr>
        <w:t xml:space="preserve"> determined </w:t>
      </w:r>
      <w:r w:rsidR="00C45DDE">
        <w:rPr>
          <w:rFonts w:asciiTheme="majorBidi" w:eastAsia="Times New Roman" w:hAnsiTheme="majorBidi" w:cstheme="majorBidi"/>
        </w:rPr>
        <w:t>by</w:t>
      </w:r>
      <w:r w:rsidR="009C61DB">
        <w:rPr>
          <w:rFonts w:asciiTheme="majorBidi" w:eastAsia="Times New Roman" w:hAnsiTheme="majorBidi" w:cstheme="majorBidi"/>
        </w:rPr>
        <w:t xml:space="preserve"> the highest emi</w:t>
      </w:r>
      <w:r w:rsidR="00C45DDE">
        <w:rPr>
          <w:rFonts w:asciiTheme="majorBidi" w:eastAsia="Times New Roman" w:hAnsiTheme="majorBidi" w:cstheme="majorBidi"/>
        </w:rPr>
        <w:t xml:space="preserve">ssions </w:t>
      </w:r>
      <w:r w:rsidR="009C61DB">
        <w:rPr>
          <w:rFonts w:asciiTheme="majorBidi" w:eastAsia="Times New Roman" w:hAnsiTheme="majorBidi" w:cstheme="majorBidi"/>
        </w:rPr>
        <w:t>at the time the Paris Agreement was signed and NDCs were being crafted.</w:t>
      </w:r>
      <w:r w:rsidR="004A387D">
        <w:rPr>
          <w:rFonts w:asciiTheme="majorBidi" w:eastAsia="Times New Roman" w:hAnsiTheme="majorBidi" w:cstheme="majorBidi"/>
        </w:rPr>
        <w:t xml:space="preserve"> Comparing the largest cumulative emitters since 1850 to the largest emitters of 2015, we see some countries appear on both lists. </w:t>
      </w:r>
      <w:r w:rsidR="0057665E" w:rsidRPr="00B55CD8">
        <w:rPr>
          <w:rFonts w:asciiTheme="majorBidi" w:eastAsia="Times New Roman" w:hAnsiTheme="majorBidi" w:cstheme="majorBidi"/>
        </w:rPr>
        <w:t>I</w:t>
      </w:r>
      <w:r w:rsidR="00EB09F2" w:rsidRPr="00B55CD8">
        <w:rPr>
          <w:rFonts w:asciiTheme="majorBidi" w:eastAsia="Times New Roman" w:hAnsiTheme="majorBidi" w:cstheme="majorBidi"/>
        </w:rPr>
        <w:t xml:space="preserve">n 2015, the </w:t>
      </w:r>
      <w:r w:rsidR="00304DEB" w:rsidRPr="00B55CD8">
        <w:rPr>
          <w:rFonts w:asciiTheme="majorBidi" w:eastAsia="Times New Roman" w:hAnsiTheme="majorBidi" w:cstheme="majorBidi"/>
        </w:rPr>
        <w:t>ten co</w:t>
      </w:r>
      <w:r w:rsidR="00EB09F2" w:rsidRPr="00B55CD8">
        <w:rPr>
          <w:rFonts w:asciiTheme="majorBidi" w:eastAsia="Times New Roman" w:hAnsiTheme="majorBidi" w:cstheme="majorBidi"/>
        </w:rPr>
        <w:t>untries that emitted the most GHGs were</w:t>
      </w:r>
      <w:r w:rsidR="00C35C27" w:rsidRPr="00B55CD8">
        <w:rPr>
          <w:rFonts w:asciiTheme="majorBidi" w:eastAsia="Times New Roman" w:hAnsiTheme="majorBidi" w:cstheme="majorBidi"/>
        </w:rPr>
        <w:t>,</w:t>
      </w:r>
      <w:r w:rsidR="00EB09F2" w:rsidRPr="00B55CD8">
        <w:rPr>
          <w:rFonts w:asciiTheme="majorBidi" w:eastAsia="Times New Roman" w:hAnsiTheme="majorBidi" w:cstheme="majorBidi"/>
        </w:rPr>
        <w:t xml:space="preserve"> in descending order: China, the United States, India, Russia, Japan, Brazil, Iran, Germany, Indonesia, and Saudi Arabia. T</w:t>
      </w:r>
      <w:r w:rsidR="008849BD" w:rsidRPr="00B55CD8">
        <w:rPr>
          <w:rFonts w:asciiTheme="majorBidi" w:eastAsia="Times New Roman" w:hAnsiTheme="majorBidi" w:cstheme="majorBidi"/>
        </w:rPr>
        <w:t>ogether, these</w:t>
      </w:r>
      <w:r w:rsidR="00EB09F2" w:rsidRPr="00B55CD8">
        <w:rPr>
          <w:rFonts w:asciiTheme="majorBidi" w:eastAsia="Times New Roman" w:hAnsiTheme="majorBidi" w:cstheme="majorBidi"/>
        </w:rPr>
        <w:t xml:space="preserve"> </w:t>
      </w:r>
      <w:r w:rsidR="002712FF">
        <w:rPr>
          <w:rFonts w:asciiTheme="majorBidi" w:eastAsia="Times New Roman" w:hAnsiTheme="majorBidi" w:cstheme="majorBidi"/>
        </w:rPr>
        <w:t>"</w:t>
      </w:r>
      <w:r w:rsidR="008849BD" w:rsidRPr="00B55CD8">
        <w:rPr>
          <w:rFonts w:asciiTheme="majorBidi" w:eastAsia="Times New Roman" w:hAnsiTheme="majorBidi" w:cstheme="majorBidi"/>
        </w:rPr>
        <w:t>Top Contributors</w:t>
      </w:r>
      <w:r w:rsidR="002712FF">
        <w:rPr>
          <w:rFonts w:asciiTheme="majorBidi" w:eastAsia="Times New Roman" w:hAnsiTheme="majorBidi" w:cstheme="majorBidi"/>
        </w:rPr>
        <w:t>"</w:t>
      </w:r>
      <w:r w:rsidR="00EB09F2" w:rsidRPr="00B55CD8">
        <w:rPr>
          <w:rFonts w:asciiTheme="majorBidi" w:eastAsia="Times New Roman" w:hAnsiTheme="majorBidi" w:cstheme="majorBidi"/>
        </w:rPr>
        <w:t xml:space="preserve"> made up nearly 2/3 (64.5%) of global emissions that year</w:t>
      </w:r>
      <w:r w:rsidR="00987368">
        <w:rPr>
          <w:rFonts w:asciiTheme="majorBidi" w:eastAsia="Times New Roman" w:hAnsiTheme="majorBidi" w:cstheme="majorBidi"/>
        </w:rPr>
        <w:t xml:space="preserve"> (Figure </w:t>
      </w:r>
      <w:r w:rsidR="00322F3F">
        <w:rPr>
          <w:rFonts w:asciiTheme="majorBidi" w:eastAsia="Times New Roman" w:hAnsiTheme="majorBidi" w:cstheme="majorBidi"/>
        </w:rPr>
        <w:t>3</w:t>
      </w:r>
      <w:r w:rsidR="00987368">
        <w:rPr>
          <w:rFonts w:asciiTheme="majorBidi" w:eastAsia="Times New Roman" w:hAnsiTheme="majorBidi" w:cstheme="majorBidi"/>
        </w:rPr>
        <w:t>)</w:t>
      </w:r>
      <w:r w:rsidR="00EB09F2" w:rsidRPr="00B55CD8">
        <w:rPr>
          <w:rFonts w:asciiTheme="majorBidi" w:eastAsia="Times New Roman" w:hAnsiTheme="majorBidi" w:cstheme="majorBidi"/>
        </w:rPr>
        <w:t>.</w:t>
      </w:r>
      <w:r w:rsidR="008849BD" w:rsidRPr="00B55CD8">
        <w:rPr>
          <w:rFonts w:asciiTheme="majorBidi" w:eastAsia="Times New Roman" w:hAnsiTheme="majorBidi" w:cstheme="majorBidi"/>
        </w:rPr>
        <w:t xml:space="preserve"> This effect is noticeable in the data –</w:t>
      </w:r>
      <w:r w:rsidR="009544F1">
        <w:rPr>
          <w:rFonts w:asciiTheme="majorBidi" w:eastAsia="Times New Roman" w:hAnsiTheme="majorBidi" w:cstheme="majorBidi"/>
        </w:rPr>
        <w:t xml:space="preserve"> aggregated </w:t>
      </w:r>
      <w:r w:rsidR="008849BD" w:rsidRPr="00B55CD8">
        <w:rPr>
          <w:rFonts w:asciiTheme="majorBidi" w:eastAsia="Times New Roman" w:hAnsiTheme="majorBidi" w:cstheme="majorBidi"/>
        </w:rPr>
        <w:t>historical emissions</w:t>
      </w:r>
      <w:r w:rsidR="007F7910">
        <w:rPr>
          <w:rFonts w:asciiTheme="majorBidi" w:eastAsia="Times New Roman" w:hAnsiTheme="majorBidi" w:cstheme="majorBidi"/>
        </w:rPr>
        <w:t xml:space="preserve"> of</w:t>
      </w:r>
      <w:r w:rsidR="008849BD" w:rsidRPr="00B55CD8">
        <w:rPr>
          <w:rFonts w:asciiTheme="majorBidi" w:eastAsia="Times New Roman" w:hAnsiTheme="majorBidi" w:cstheme="majorBidi"/>
        </w:rPr>
        <w:t xml:space="preserve"> th</w:t>
      </w:r>
      <w:r w:rsidR="007F7910">
        <w:rPr>
          <w:rFonts w:asciiTheme="majorBidi" w:eastAsia="Times New Roman" w:hAnsiTheme="majorBidi" w:cstheme="majorBidi"/>
        </w:rPr>
        <w:t>ose</w:t>
      </w:r>
      <w:r w:rsidR="008849BD" w:rsidRPr="00B55CD8">
        <w:rPr>
          <w:rFonts w:asciiTheme="majorBidi" w:eastAsia="Times New Roman" w:hAnsiTheme="majorBidi" w:cstheme="majorBidi"/>
        </w:rPr>
        <w:t xml:space="preserve"> ten</w:t>
      </w:r>
      <w:r w:rsidR="007F7910">
        <w:rPr>
          <w:rFonts w:asciiTheme="majorBidi" w:eastAsia="Times New Roman" w:hAnsiTheme="majorBidi" w:cstheme="majorBidi"/>
        </w:rPr>
        <w:t xml:space="preserve"> </w:t>
      </w:r>
      <w:r w:rsidR="008849BD" w:rsidRPr="00B55CD8">
        <w:rPr>
          <w:rFonts w:asciiTheme="majorBidi" w:eastAsia="Times New Roman" w:hAnsiTheme="majorBidi" w:cstheme="majorBidi"/>
        </w:rPr>
        <w:t>mirrors the global emissions data nearly perfectly</w:t>
      </w:r>
      <w:r w:rsidR="00504A78" w:rsidRPr="00B55CD8">
        <w:rPr>
          <w:rFonts w:asciiTheme="majorBidi" w:eastAsia="Times New Roman" w:hAnsiTheme="majorBidi" w:cstheme="majorBidi"/>
        </w:rPr>
        <w:t xml:space="preserve"> since</w:t>
      </w:r>
      <w:r w:rsidR="00813AE2" w:rsidRPr="00B55CD8">
        <w:rPr>
          <w:rFonts w:asciiTheme="majorBidi" w:eastAsia="Times New Roman" w:hAnsiTheme="majorBidi" w:cstheme="majorBidi"/>
        </w:rPr>
        <w:t xml:space="preserve"> 1900</w:t>
      </w:r>
      <w:r w:rsidR="00541E5B">
        <w:rPr>
          <w:rFonts w:asciiTheme="majorBidi" w:eastAsia="Times New Roman" w:hAnsiTheme="majorBidi" w:cstheme="majorBidi"/>
        </w:rPr>
        <w:t>.</w:t>
      </w:r>
      <w:r w:rsidR="00813AE2" w:rsidRPr="00B55CD8">
        <w:rPr>
          <w:rFonts w:asciiTheme="majorBidi" w:eastAsia="Times New Roman" w:hAnsiTheme="majorBidi" w:cstheme="majorBidi"/>
        </w:rPr>
        <w:t xml:space="preserve"> </w:t>
      </w:r>
      <w:r w:rsidR="00504A78" w:rsidRPr="00B55CD8">
        <w:rPr>
          <w:rFonts w:asciiTheme="majorBidi" w:eastAsia="Times New Roman" w:hAnsiTheme="majorBidi" w:cstheme="majorBidi"/>
        </w:rPr>
        <w:t>Since 1980, this group of countries has constituted roughly the same percentage of global emissions</w:t>
      </w:r>
      <w:r w:rsidR="00304DEB" w:rsidRPr="00B55CD8">
        <w:rPr>
          <w:rFonts w:asciiTheme="majorBidi" w:eastAsia="Times New Roman" w:hAnsiTheme="majorBidi" w:cstheme="majorBidi"/>
        </w:rPr>
        <w:t xml:space="preserve"> each year</w:t>
      </w:r>
      <w:r w:rsidR="00813AE2" w:rsidRPr="00B55CD8">
        <w:rPr>
          <w:rFonts w:asciiTheme="majorBidi" w:eastAsia="Times New Roman" w:hAnsiTheme="majorBidi" w:cstheme="majorBidi"/>
        </w:rPr>
        <w:t>, reflecting the massive effect these countries have on the aggregate.</w:t>
      </w:r>
      <w:r w:rsidR="00023408" w:rsidRPr="00B55CD8">
        <w:rPr>
          <w:rFonts w:asciiTheme="majorBidi" w:eastAsia="Times New Roman" w:hAnsiTheme="majorBidi" w:cstheme="majorBidi"/>
        </w:rPr>
        <w:t xml:space="preserve"> </w:t>
      </w:r>
    </w:p>
    <w:p w14:paraId="55A5C9EC" w14:textId="18088C39" w:rsidR="002B667E" w:rsidRPr="002B667E" w:rsidRDefault="00286635" w:rsidP="002B667E">
      <w:pPr>
        <w:pStyle w:val="Caption"/>
        <w:keepNext/>
        <w:spacing w:after="60"/>
        <w:ind w:left="720" w:firstLine="720"/>
      </w:pPr>
      <w:r w:rsidRPr="001E6D56">
        <w:rPr>
          <w:rFonts w:ascii="Fira Sans Condensed" w:hAnsi="Fira Sans Condensed"/>
          <w:noProof/>
          <w:sz w:val="16"/>
          <w:szCs w:val="16"/>
        </w:rPr>
        <w:t>Table 2</w:t>
      </w:r>
      <w:r w:rsidR="001E6D56" w:rsidRPr="001E6D56">
        <w:rPr>
          <w:rFonts w:ascii="Fira Sans Condensed" w:hAnsi="Fira Sans Condensed"/>
          <w:noProof/>
          <w:sz w:val="16"/>
          <w:szCs w:val="16"/>
        </w:rPr>
        <w:t>.</w:t>
      </w:r>
      <w:r w:rsidRPr="001E6D56">
        <w:rPr>
          <w:rFonts w:ascii="Fira Sans Condensed" w:hAnsi="Fira Sans Condensed"/>
          <w:noProof/>
          <w:sz w:val="16"/>
          <w:szCs w:val="16"/>
        </w:rPr>
        <w:t xml:space="preserve"> 2015 Top Emitters</w:t>
      </w:r>
    </w:p>
    <w:p w14:paraId="76FC3212" w14:textId="673840F6" w:rsidR="00286635" w:rsidRDefault="00286635" w:rsidP="0018493C">
      <w:pPr>
        <w:spacing w:after="240" w:line="240" w:lineRule="auto"/>
        <w:jc w:val="center"/>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4A3438C6" wp14:editId="75D77F36">
            <wp:extent cx="3870635" cy="1353185"/>
            <wp:effectExtent l="0" t="0" r="0" b="0"/>
            <wp:docPr id="1816942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42587" name="Picture 2"/>
                    <pic:cNvPicPr/>
                  </pic:nvPicPr>
                  <pic:blipFill rotWithShape="1">
                    <a:blip r:embed="rId10">
                      <a:extLst>
                        <a:ext uri="{28A0092B-C50C-407E-A947-70E740481C1C}">
                          <a14:useLocalDpi xmlns:a14="http://schemas.microsoft.com/office/drawing/2010/main" val="0"/>
                        </a:ext>
                      </a:extLst>
                    </a:blip>
                    <a:srcRect r="21146" b="45126"/>
                    <a:stretch/>
                  </pic:blipFill>
                  <pic:spPr bwMode="auto">
                    <a:xfrm>
                      <a:off x="0" y="0"/>
                      <a:ext cx="3870998" cy="1353312"/>
                    </a:xfrm>
                    <a:prstGeom prst="rect">
                      <a:avLst/>
                    </a:prstGeom>
                    <a:ln>
                      <a:noFill/>
                    </a:ln>
                    <a:extLst>
                      <a:ext uri="{53640926-AAD7-44D8-BBD7-CCE9431645EC}">
                        <a14:shadowObscured xmlns:a14="http://schemas.microsoft.com/office/drawing/2010/main"/>
                      </a:ext>
                    </a:extLst>
                  </pic:spPr>
                </pic:pic>
              </a:graphicData>
            </a:graphic>
          </wp:inline>
        </w:drawing>
      </w:r>
    </w:p>
    <w:p w14:paraId="489C4E38" w14:textId="77777777" w:rsidR="00322F3F" w:rsidRDefault="00322F3F" w:rsidP="00322F3F">
      <w:pPr>
        <w:keepNext/>
        <w:spacing w:after="0"/>
        <w:jc w:val="center"/>
      </w:pPr>
      <w:r>
        <w:rPr>
          <w:noProof/>
        </w:rPr>
        <w:drawing>
          <wp:inline distT="0" distB="0" distL="0" distR="0" wp14:anchorId="36457E9B" wp14:editId="4FF13BEB">
            <wp:extent cx="3849624" cy="2788920"/>
            <wp:effectExtent l="0" t="0" r="0" b="0"/>
            <wp:docPr id="1477497666" name="Picture 9" descr="A graph showing the growth of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97666" name="Picture 9" descr="A graph showing the growth of emiss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49624" cy="2788920"/>
                    </a:xfrm>
                    <a:prstGeom prst="rect">
                      <a:avLst/>
                    </a:prstGeom>
                  </pic:spPr>
                </pic:pic>
              </a:graphicData>
            </a:graphic>
          </wp:inline>
        </w:drawing>
      </w:r>
    </w:p>
    <w:p w14:paraId="6A1F2A07" w14:textId="5DCDE582" w:rsidR="00322F3F" w:rsidRPr="00F05799" w:rsidRDefault="00322F3F" w:rsidP="00322F3F">
      <w:pPr>
        <w:pStyle w:val="Caption"/>
        <w:spacing w:after="120"/>
        <w:ind w:left="1440"/>
        <w:rPr>
          <w:rFonts w:ascii="Fira Sans Condensed" w:hAnsi="Fira Sans Condensed" w:cstheme="majorBidi"/>
          <w:sz w:val="16"/>
          <w:szCs w:val="16"/>
        </w:rPr>
      </w:pPr>
      <w:r>
        <w:rPr>
          <w:rFonts w:asciiTheme="majorBidi" w:hAnsiTheme="majorBidi" w:cstheme="majorBidi"/>
          <w:sz w:val="16"/>
          <w:szCs w:val="16"/>
        </w:rPr>
        <w:t xml:space="preserve">        </w:t>
      </w:r>
      <w:r w:rsidRPr="00F05799">
        <w:rPr>
          <w:rFonts w:ascii="Fira Sans Condensed" w:hAnsi="Fira Sans Condensed" w:cstheme="majorBidi"/>
          <w:sz w:val="16"/>
          <w:szCs w:val="16"/>
        </w:rPr>
        <w:t xml:space="preserve">Figure </w:t>
      </w:r>
      <w:r w:rsidRPr="00F05799">
        <w:rPr>
          <w:rFonts w:ascii="Fira Sans Condensed" w:hAnsi="Fira Sans Condensed" w:cstheme="majorBidi"/>
          <w:sz w:val="16"/>
          <w:szCs w:val="16"/>
        </w:rPr>
        <w:fldChar w:fldCharType="begin"/>
      </w:r>
      <w:r w:rsidRPr="00F05799">
        <w:rPr>
          <w:rFonts w:ascii="Fira Sans Condensed" w:hAnsi="Fira Sans Condensed" w:cstheme="majorBidi"/>
          <w:sz w:val="16"/>
          <w:szCs w:val="16"/>
        </w:rPr>
        <w:instrText xml:space="preserve"> SEQ Figure \* ARABIC </w:instrText>
      </w:r>
      <w:r w:rsidRPr="00F05799">
        <w:rPr>
          <w:rFonts w:ascii="Fira Sans Condensed" w:hAnsi="Fira Sans Condensed" w:cstheme="majorBidi"/>
          <w:sz w:val="16"/>
          <w:szCs w:val="16"/>
        </w:rPr>
        <w:fldChar w:fldCharType="separate"/>
      </w:r>
      <w:r w:rsidR="005F141F">
        <w:rPr>
          <w:rFonts w:ascii="Fira Sans Condensed" w:hAnsi="Fira Sans Condensed" w:cstheme="majorBidi"/>
          <w:noProof/>
          <w:sz w:val="16"/>
          <w:szCs w:val="16"/>
        </w:rPr>
        <w:t>3</w:t>
      </w:r>
      <w:r w:rsidRPr="00F05799">
        <w:rPr>
          <w:rFonts w:ascii="Fira Sans Condensed" w:hAnsi="Fira Sans Condensed" w:cstheme="majorBidi"/>
          <w:sz w:val="16"/>
          <w:szCs w:val="16"/>
        </w:rPr>
        <w:fldChar w:fldCharType="end"/>
      </w:r>
    </w:p>
    <w:p w14:paraId="7FE79429" w14:textId="3C381B35" w:rsidR="002F35F5" w:rsidRDefault="00A80B29" w:rsidP="00F11D79">
      <w:pPr>
        <w:spacing w:after="240" w:line="240" w:lineRule="auto"/>
        <w:rPr>
          <w:rFonts w:asciiTheme="majorBidi" w:eastAsia="Times New Roman" w:hAnsiTheme="majorBidi" w:cstheme="majorBidi"/>
        </w:rPr>
      </w:pPr>
      <w:r>
        <w:rPr>
          <w:rFonts w:asciiTheme="majorBidi" w:eastAsia="Times New Roman" w:hAnsiTheme="majorBidi" w:cstheme="majorBidi"/>
        </w:rPr>
        <w:t>T</w:t>
      </w:r>
      <w:r w:rsidR="00B03CA6" w:rsidRPr="00B55CD8">
        <w:rPr>
          <w:rFonts w:asciiTheme="majorBidi" w:eastAsia="Times New Roman" w:hAnsiTheme="majorBidi" w:cstheme="majorBidi"/>
        </w:rPr>
        <w:t>he Top Contributors submitted INDCs</w:t>
      </w:r>
      <w:r>
        <w:rPr>
          <w:rFonts w:asciiTheme="majorBidi" w:eastAsia="Times New Roman" w:hAnsiTheme="majorBidi" w:cstheme="majorBidi"/>
        </w:rPr>
        <w:t xml:space="preserve"> in the fall of 2015</w:t>
      </w:r>
      <w:r w:rsidR="00B03CA6" w:rsidRPr="00B55CD8">
        <w:rPr>
          <w:rFonts w:asciiTheme="majorBidi" w:eastAsia="Times New Roman" w:hAnsiTheme="majorBidi" w:cstheme="majorBidi"/>
        </w:rPr>
        <w:t xml:space="preserve"> as part of their intention to sign the Paris Agreement at the UNFCCC</w:t>
      </w:r>
      <w:r w:rsidR="002712FF">
        <w:rPr>
          <w:rFonts w:asciiTheme="majorBidi" w:eastAsia="Times New Roman" w:hAnsiTheme="majorBidi" w:cstheme="majorBidi"/>
        </w:rPr>
        <w:t>'</w:t>
      </w:r>
      <w:r w:rsidR="00B03CA6" w:rsidRPr="00B55CD8">
        <w:rPr>
          <w:rFonts w:asciiTheme="majorBidi" w:eastAsia="Times New Roman" w:hAnsiTheme="majorBidi" w:cstheme="majorBidi"/>
        </w:rPr>
        <w:t xml:space="preserve">s twenty-first session of the Conference of the Parties (COP 21) that </w:t>
      </w:r>
      <w:r w:rsidR="00B03CA6" w:rsidRPr="00B55CD8">
        <w:rPr>
          <w:rFonts w:asciiTheme="majorBidi" w:eastAsia="Times New Roman" w:hAnsiTheme="majorBidi" w:cstheme="majorBidi"/>
        </w:rPr>
        <w:lastRenderedPageBreak/>
        <w:t xml:space="preserve">November. </w:t>
      </w:r>
      <w:r w:rsidR="002F35F5" w:rsidRPr="00B55CD8">
        <w:rPr>
          <w:rFonts w:asciiTheme="majorBidi" w:eastAsia="Times New Roman" w:hAnsiTheme="majorBidi" w:cstheme="majorBidi"/>
        </w:rPr>
        <w:t>These INDCs</w:t>
      </w:r>
      <w:r w:rsidR="00EE030A">
        <w:rPr>
          <w:rFonts w:asciiTheme="majorBidi" w:eastAsia="Times New Roman" w:hAnsiTheme="majorBidi" w:cstheme="majorBidi"/>
        </w:rPr>
        <w:t>,</w:t>
      </w:r>
      <w:r w:rsidR="002F35F5" w:rsidRPr="00B55CD8">
        <w:rPr>
          <w:rFonts w:asciiTheme="majorBidi" w:eastAsia="Times New Roman" w:hAnsiTheme="majorBidi" w:cstheme="majorBidi"/>
        </w:rPr>
        <w:t xml:space="preserve"> and their later NDCs</w:t>
      </w:r>
      <w:r w:rsidR="00EE030A">
        <w:rPr>
          <w:rFonts w:asciiTheme="majorBidi" w:eastAsia="Times New Roman" w:hAnsiTheme="majorBidi" w:cstheme="majorBidi"/>
        </w:rPr>
        <w:t>,</w:t>
      </w:r>
      <w:r w:rsidR="002F35F5" w:rsidRPr="00B55CD8">
        <w:rPr>
          <w:rFonts w:asciiTheme="majorBidi" w:eastAsia="Times New Roman" w:hAnsiTheme="majorBidi" w:cstheme="majorBidi"/>
        </w:rPr>
        <w:t xml:space="preserve"> were aggregated to evaluate their </w:t>
      </w:r>
      <w:r w:rsidR="00541E5B">
        <w:rPr>
          <w:rFonts w:asciiTheme="majorBidi" w:eastAsia="Times New Roman" w:hAnsiTheme="majorBidi" w:cstheme="majorBidi"/>
        </w:rPr>
        <w:t>combined</w:t>
      </w:r>
      <w:r w:rsidR="002F35F5" w:rsidRPr="00B55CD8">
        <w:rPr>
          <w:rFonts w:asciiTheme="majorBidi" w:eastAsia="Times New Roman" w:hAnsiTheme="majorBidi" w:cstheme="majorBidi"/>
        </w:rPr>
        <w:t xml:space="preserve"> proposed trajectory</w:t>
      </w:r>
      <w:r w:rsidR="00F82758" w:rsidRPr="00B55CD8">
        <w:rPr>
          <w:rFonts w:asciiTheme="majorBidi" w:eastAsia="Times New Roman" w:hAnsiTheme="majorBidi" w:cstheme="majorBidi"/>
        </w:rPr>
        <w:t xml:space="preserve"> (with immediate implementation</w:t>
      </w:r>
      <w:r w:rsidR="00987368">
        <w:rPr>
          <w:rFonts w:asciiTheme="majorBidi" w:eastAsia="Times New Roman" w:hAnsiTheme="majorBidi" w:cstheme="majorBidi"/>
        </w:rPr>
        <w:t xml:space="preserve">) (Figure </w:t>
      </w:r>
      <w:r w:rsidR="00405013">
        <w:rPr>
          <w:rFonts w:asciiTheme="majorBidi" w:eastAsia="Times New Roman" w:hAnsiTheme="majorBidi" w:cstheme="majorBidi"/>
        </w:rPr>
        <w:t>4</w:t>
      </w:r>
      <w:r w:rsidR="00987368">
        <w:rPr>
          <w:rFonts w:asciiTheme="majorBidi" w:eastAsia="Times New Roman" w:hAnsiTheme="majorBidi" w:cstheme="majorBidi"/>
        </w:rPr>
        <w:t>)</w:t>
      </w:r>
      <w:r w:rsidR="007F7910">
        <w:rPr>
          <w:rFonts w:asciiTheme="majorBidi" w:eastAsia="Times New Roman" w:hAnsiTheme="majorBidi" w:cstheme="majorBidi"/>
        </w:rPr>
        <w:t xml:space="preserve">. </w:t>
      </w:r>
      <w:r w:rsidR="00143609" w:rsidRPr="00B55CD8">
        <w:rPr>
          <w:rFonts w:asciiTheme="majorBidi" w:eastAsia="Times New Roman" w:hAnsiTheme="majorBidi" w:cstheme="majorBidi"/>
        </w:rPr>
        <w:t xml:space="preserve">Historical data for </w:t>
      </w:r>
      <w:r w:rsidR="00373321">
        <w:rPr>
          <w:rFonts w:asciiTheme="majorBidi" w:eastAsia="Times New Roman" w:hAnsiTheme="majorBidi" w:cstheme="majorBidi"/>
        </w:rPr>
        <w:t xml:space="preserve">the </w:t>
      </w:r>
      <w:r w:rsidR="00541E5B">
        <w:rPr>
          <w:rFonts w:asciiTheme="majorBidi" w:eastAsia="Times New Roman" w:hAnsiTheme="majorBidi" w:cstheme="majorBidi"/>
        </w:rPr>
        <w:t>sum</w:t>
      </w:r>
      <w:r w:rsidR="00373321">
        <w:rPr>
          <w:rFonts w:asciiTheme="majorBidi" w:eastAsia="Times New Roman" w:hAnsiTheme="majorBidi" w:cstheme="majorBidi"/>
        </w:rPr>
        <w:t xml:space="preserve"> of the Top Contributors and the global total were used to predict each grouping</w:t>
      </w:r>
      <w:r w:rsidR="002712FF">
        <w:rPr>
          <w:rFonts w:asciiTheme="majorBidi" w:eastAsia="Times New Roman" w:hAnsiTheme="majorBidi" w:cstheme="majorBidi"/>
        </w:rPr>
        <w:t>'</w:t>
      </w:r>
      <w:r w:rsidR="00373321">
        <w:rPr>
          <w:rFonts w:asciiTheme="majorBidi" w:eastAsia="Times New Roman" w:hAnsiTheme="majorBidi" w:cstheme="majorBidi"/>
        </w:rPr>
        <w:t>s yearly emission trajectory for</w:t>
      </w:r>
      <w:r w:rsidR="00143609" w:rsidRPr="00B55CD8">
        <w:rPr>
          <w:rFonts w:asciiTheme="majorBidi" w:eastAsia="Times New Roman" w:hAnsiTheme="majorBidi" w:cstheme="majorBidi"/>
        </w:rPr>
        <w:t xml:space="preserve"> 2021 t</w:t>
      </w:r>
      <w:r w:rsidR="00EE030A">
        <w:rPr>
          <w:rFonts w:asciiTheme="majorBidi" w:eastAsia="Times New Roman" w:hAnsiTheme="majorBidi" w:cstheme="majorBidi"/>
        </w:rPr>
        <w:t>hrough</w:t>
      </w:r>
      <w:r w:rsidR="00143609" w:rsidRPr="00B55CD8">
        <w:rPr>
          <w:rFonts w:asciiTheme="majorBidi" w:eastAsia="Times New Roman" w:hAnsiTheme="majorBidi" w:cstheme="majorBidi"/>
        </w:rPr>
        <w:t xml:space="preserve"> 2030. </w:t>
      </w:r>
      <w:r w:rsidR="0081005C" w:rsidRPr="00B55CD8">
        <w:rPr>
          <w:rFonts w:asciiTheme="majorBidi" w:eastAsia="Times New Roman" w:hAnsiTheme="majorBidi" w:cstheme="majorBidi"/>
        </w:rPr>
        <w:t>First,</w:t>
      </w:r>
      <w:r w:rsidR="00452C18" w:rsidRPr="00B55CD8">
        <w:rPr>
          <w:rFonts w:asciiTheme="majorBidi" w:eastAsia="Times New Roman" w:hAnsiTheme="majorBidi" w:cstheme="majorBidi"/>
        </w:rPr>
        <w:t xml:space="preserve"> a BAU </w:t>
      </w:r>
      <w:r w:rsidR="0081005C" w:rsidRPr="00B55CD8">
        <w:rPr>
          <w:rFonts w:asciiTheme="majorBidi" w:eastAsia="Times New Roman" w:hAnsiTheme="majorBidi" w:cstheme="majorBidi"/>
        </w:rPr>
        <w:t xml:space="preserve">line, reflecting behavior before 2016, was predicted to estimate emissions if pre-INDC policies were </w:t>
      </w:r>
      <w:r w:rsidR="00373321">
        <w:rPr>
          <w:rFonts w:asciiTheme="majorBidi" w:eastAsia="Times New Roman" w:hAnsiTheme="majorBidi" w:cstheme="majorBidi"/>
        </w:rPr>
        <w:t>maintained</w:t>
      </w:r>
      <w:r w:rsidR="0081005C" w:rsidRPr="00B55CD8">
        <w:rPr>
          <w:rFonts w:asciiTheme="majorBidi" w:eastAsia="Times New Roman" w:hAnsiTheme="majorBidi" w:cstheme="majorBidi"/>
        </w:rPr>
        <w:t>. Next, 2015 to 2020 served as</w:t>
      </w:r>
      <w:r w:rsidR="00373321">
        <w:rPr>
          <w:rFonts w:asciiTheme="majorBidi" w:eastAsia="Times New Roman" w:hAnsiTheme="majorBidi" w:cstheme="majorBidi"/>
        </w:rPr>
        <w:t xml:space="preserve"> each group's post-INDC and NDC policy behavior period</w:t>
      </w:r>
      <w:r w:rsidR="0081005C" w:rsidRPr="00B55CD8">
        <w:rPr>
          <w:rFonts w:asciiTheme="majorBidi" w:eastAsia="Times New Roman" w:hAnsiTheme="majorBidi" w:cstheme="majorBidi"/>
        </w:rPr>
        <w:t>. That data was extrapolated to predict what emission</w:t>
      </w:r>
      <w:r w:rsidR="009544F1">
        <w:rPr>
          <w:rFonts w:asciiTheme="majorBidi" w:eastAsia="Times New Roman" w:hAnsiTheme="majorBidi" w:cstheme="majorBidi"/>
        </w:rPr>
        <w:t xml:space="preserve"> level</w:t>
      </w:r>
      <w:r w:rsidR="0081005C" w:rsidRPr="00B55CD8">
        <w:rPr>
          <w:rFonts w:asciiTheme="majorBidi" w:eastAsia="Times New Roman" w:hAnsiTheme="majorBidi" w:cstheme="majorBidi"/>
        </w:rPr>
        <w:t xml:space="preserve">s are expected to be in </w:t>
      </w:r>
      <w:r w:rsidR="007F7910">
        <w:rPr>
          <w:rFonts w:asciiTheme="majorBidi" w:eastAsia="Times New Roman" w:hAnsiTheme="majorBidi" w:cstheme="majorBidi"/>
        </w:rPr>
        <w:t xml:space="preserve">the </w:t>
      </w:r>
      <w:r w:rsidR="0081005C" w:rsidRPr="00B55CD8">
        <w:rPr>
          <w:rFonts w:asciiTheme="majorBidi" w:eastAsia="Times New Roman" w:hAnsiTheme="majorBidi" w:cstheme="majorBidi"/>
        </w:rPr>
        <w:t xml:space="preserve">2020 </w:t>
      </w:r>
      <w:r w:rsidR="007F7910">
        <w:rPr>
          <w:rFonts w:asciiTheme="majorBidi" w:eastAsia="Times New Roman" w:hAnsiTheme="majorBidi" w:cstheme="majorBidi"/>
        </w:rPr>
        <w:t>-</w:t>
      </w:r>
      <w:r w:rsidR="0081005C" w:rsidRPr="00B55CD8">
        <w:rPr>
          <w:rFonts w:asciiTheme="majorBidi" w:eastAsia="Times New Roman" w:hAnsiTheme="majorBidi" w:cstheme="majorBidi"/>
        </w:rPr>
        <w:t xml:space="preserve"> 2030 </w:t>
      </w:r>
      <w:r w:rsidR="007F7910">
        <w:rPr>
          <w:rFonts w:asciiTheme="majorBidi" w:eastAsia="Times New Roman" w:hAnsiTheme="majorBidi" w:cstheme="majorBidi"/>
        </w:rPr>
        <w:t>period i</w:t>
      </w:r>
      <w:r w:rsidR="0081005C" w:rsidRPr="00B55CD8">
        <w:rPr>
          <w:rFonts w:asciiTheme="majorBidi" w:eastAsia="Times New Roman" w:hAnsiTheme="majorBidi" w:cstheme="majorBidi"/>
        </w:rPr>
        <w:t xml:space="preserve">f </w:t>
      </w:r>
      <w:r w:rsidR="007C799D" w:rsidRPr="00B55CD8">
        <w:rPr>
          <w:rFonts w:asciiTheme="majorBidi" w:eastAsia="Times New Roman" w:hAnsiTheme="majorBidi" w:cstheme="majorBidi"/>
        </w:rPr>
        <w:t>the post</w:t>
      </w:r>
      <w:r w:rsidR="0081005C" w:rsidRPr="00B55CD8">
        <w:rPr>
          <w:rFonts w:asciiTheme="majorBidi" w:eastAsia="Times New Roman" w:hAnsiTheme="majorBidi" w:cstheme="majorBidi"/>
        </w:rPr>
        <w:t xml:space="preserve">-Paris Agreement behavior remains unchanged. </w:t>
      </w:r>
    </w:p>
    <w:p w14:paraId="374DBEAD" w14:textId="3124FE04" w:rsidR="00322F3F" w:rsidRDefault="0033747D" w:rsidP="00322F3F">
      <w:pPr>
        <w:keepNext/>
        <w:spacing w:after="0"/>
        <w:jc w:val="center"/>
      </w:pPr>
      <w:r>
        <w:rPr>
          <w:noProof/>
        </w:rPr>
        <w:drawing>
          <wp:inline distT="0" distB="0" distL="0" distR="0" wp14:anchorId="7331A103" wp14:editId="5336BB7B">
            <wp:extent cx="3950208" cy="2834640"/>
            <wp:effectExtent l="0" t="0" r="0" b="3810"/>
            <wp:docPr id="1078124714" name="Picture 2" descr="A graph of the global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24714" name="Picture 2" descr="A graph of the global emiss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50208" cy="2834640"/>
                    </a:xfrm>
                    <a:prstGeom prst="rect">
                      <a:avLst/>
                    </a:prstGeom>
                  </pic:spPr>
                </pic:pic>
              </a:graphicData>
            </a:graphic>
          </wp:inline>
        </w:drawing>
      </w:r>
    </w:p>
    <w:p w14:paraId="3EF0CF4E" w14:textId="0AD1C0C2" w:rsidR="00322F3F" w:rsidRPr="00F57E6F" w:rsidRDefault="00322F3F" w:rsidP="00322F3F">
      <w:pPr>
        <w:pStyle w:val="Caption"/>
        <w:spacing w:after="120"/>
        <w:ind w:left="1440"/>
        <w:rPr>
          <w:rFonts w:ascii="Fira Sans Condensed" w:hAnsi="Fira Sans Condensed"/>
          <w:sz w:val="16"/>
          <w:szCs w:val="16"/>
        </w:rPr>
      </w:pPr>
      <w:r>
        <w:t xml:space="preserve">       </w:t>
      </w:r>
      <w:r w:rsidRPr="00F57E6F">
        <w:rPr>
          <w:rFonts w:ascii="Fira Sans Condensed" w:hAnsi="Fira Sans Condensed"/>
          <w:sz w:val="16"/>
          <w:szCs w:val="16"/>
        </w:rPr>
        <w:t xml:space="preserve">Figure </w:t>
      </w:r>
      <w:r w:rsidRPr="00F57E6F">
        <w:rPr>
          <w:rFonts w:ascii="Fira Sans Condensed" w:hAnsi="Fira Sans Condensed"/>
          <w:sz w:val="16"/>
          <w:szCs w:val="16"/>
        </w:rPr>
        <w:fldChar w:fldCharType="begin"/>
      </w:r>
      <w:r w:rsidRPr="00F57E6F">
        <w:rPr>
          <w:rFonts w:ascii="Fira Sans Condensed" w:hAnsi="Fira Sans Condensed"/>
          <w:sz w:val="16"/>
          <w:szCs w:val="16"/>
        </w:rPr>
        <w:instrText xml:space="preserve"> SEQ Figure \* ARABIC </w:instrText>
      </w:r>
      <w:r w:rsidRPr="00F57E6F">
        <w:rPr>
          <w:rFonts w:ascii="Fira Sans Condensed" w:hAnsi="Fira Sans Condensed"/>
          <w:sz w:val="16"/>
          <w:szCs w:val="16"/>
        </w:rPr>
        <w:fldChar w:fldCharType="separate"/>
      </w:r>
      <w:r w:rsidR="005F141F">
        <w:rPr>
          <w:rFonts w:ascii="Fira Sans Condensed" w:hAnsi="Fira Sans Condensed"/>
          <w:noProof/>
          <w:sz w:val="16"/>
          <w:szCs w:val="16"/>
        </w:rPr>
        <w:t>4</w:t>
      </w:r>
      <w:r w:rsidRPr="00F57E6F">
        <w:rPr>
          <w:rFonts w:ascii="Fira Sans Condensed" w:hAnsi="Fira Sans Condensed"/>
          <w:noProof/>
          <w:sz w:val="16"/>
          <w:szCs w:val="16"/>
        </w:rPr>
        <w:fldChar w:fldCharType="end"/>
      </w:r>
    </w:p>
    <w:p w14:paraId="7F84D7FD" w14:textId="768CB1EC" w:rsidR="00A80B29" w:rsidRPr="00541E5B" w:rsidRDefault="00A80B29" w:rsidP="00F11D79">
      <w:pPr>
        <w:spacing w:after="240" w:line="240" w:lineRule="auto"/>
        <w:rPr>
          <w:rFonts w:asciiTheme="majorBidi" w:eastAsia="Times New Roman" w:hAnsiTheme="majorBidi" w:cstheme="majorBidi"/>
        </w:rPr>
      </w:pPr>
      <w:r>
        <w:rPr>
          <w:rFonts w:asciiTheme="majorBidi" w:eastAsia="Times New Roman" w:hAnsiTheme="majorBidi" w:cstheme="majorBidi"/>
        </w:rPr>
        <w:t xml:space="preserve">2021 </w:t>
      </w:r>
      <w:r w:rsidR="00AD1643">
        <w:rPr>
          <w:rFonts w:asciiTheme="majorBidi" w:eastAsia="Times New Roman" w:hAnsiTheme="majorBidi" w:cstheme="majorBidi"/>
        </w:rPr>
        <w:t xml:space="preserve">is a unique </w:t>
      </w:r>
      <w:r w:rsidR="00E13589">
        <w:rPr>
          <w:rFonts w:asciiTheme="majorBidi" w:eastAsia="Times New Roman" w:hAnsiTheme="majorBidi" w:cstheme="majorBidi"/>
        </w:rPr>
        <w:t>year to investigate these actions. G</w:t>
      </w:r>
      <w:r>
        <w:rPr>
          <w:rFonts w:asciiTheme="majorBidi" w:eastAsia="Times New Roman" w:hAnsiTheme="majorBidi" w:cstheme="majorBidi"/>
        </w:rPr>
        <w:t>lobal data through 2020 has been collected and calculated, and reflection can be done on pre-2020 pledges (Cancun Pledges, Doha Amendment)</w:t>
      </w:r>
      <w:r w:rsidR="00E13589">
        <w:rPr>
          <w:rFonts w:asciiTheme="majorBidi" w:eastAsia="Times New Roman" w:hAnsiTheme="majorBidi" w:cstheme="majorBidi"/>
        </w:rPr>
        <w:t xml:space="preserve"> before entering the 2021-2030 interval of the Paris </w:t>
      </w:r>
      <w:proofErr w:type="gramStart"/>
      <w:r w:rsidR="00E13589">
        <w:rPr>
          <w:rFonts w:asciiTheme="majorBidi" w:eastAsia="Times New Roman" w:hAnsiTheme="majorBidi" w:cstheme="majorBidi"/>
        </w:rPr>
        <w:t>Agreement.</w:t>
      </w:r>
      <w:r>
        <w:rPr>
          <w:rFonts w:asciiTheme="majorBidi" w:eastAsia="Times New Roman" w:hAnsiTheme="majorBidi" w:cstheme="majorBidi"/>
        </w:rPr>
        <w:t>.</w:t>
      </w:r>
      <w:proofErr w:type="gramEnd"/>
      <w:r>
        <w:rPr>
          <w:rFonts w:asciiTheme="majorBidi" w:eastAsia="Times New Roman" w:hAnsiTheme="majorBidi" w:cstheme="majorBidi"/>
        </w:rPr>
        <w:t xml:space="preserve"> In Figure 4, the collective pre-2020 goals for the Top Contributors can be seen on the INDC and NDC lines </w:t>
      </w:r>
      <w:proofErr w:type="gramStart"/>
      <w:r>
        <w:rPr>
          <w:rFonts w:asciiTheme="majorBidi" w:eastAsia="Times New Roman" w:hAnsiTheme="majorBidi" w:cstheme="majorBidi"/>
        </w:rPr>
        <w:t>at</w:t>
      </w:r>
      <w:proofErr w:type="gramEnd"/>
      <w:r>
        <w:rPr>
          <w:rFonts w:asciiTheme="majorBidi" w:eastAsia="Times New Roman" w:hAnsiTheme="majorBidi" w:cstheme="majorBidi"/>
        </w:rPr>
        <w:t xml:space="preserve"> the year 2020</w:t>
      </w:r>
      <w:r w:rsidR="00E13589">
        <w:rPr>
          <w:rFonts w:asciiTheme="majorBidi" w:eastAsia="Times New Roman" w:hAnsiTheme="majorBidi" w:cstheme="majorBidi"/>
        </w:rPr>
        <w:t>. T</w:t>
      </w:r>
      <w:r>
        <w:rPr>
          <w:rFonts w:asciiTheme="majorBidi" w:eastAsia="Times New Roman" w:hAnsiTheme="majorBidi" w:cstheme="majorBidi"/>
        </w:rPr>
        <w:t>h</w:t>
      </w:r>
      <w:r w:rsidR="00E13589">
        <w:rPr>
          <w:rFonts w:asciiTheme="majorBidi" w:eastAsia="Times New Roman" w:hAnsiTheme="majorBidi" w:cstheme="majorBidi"/>
        </w:rPr>
        <w:t>is provides a connection between th</w:t>
      </w:r>
      <w:r>
        <w:rPr>
          <w:rFonts w:asciiTheme="majorBidi" w:eastAsia="Times New Roman" w:hAnsiTheme="majorBidi" w:cstheme="majorBidi"/>
        </w:rPr>
        <w:t>e</w:t>
      </w:r>
      <w:r w:rsidR="00E13589">
        <w:rPr>
          <w:rFonts w:asciiTheme="majorBidi" w:eastAsia="Times New Roman" w:hAnsiTheme="majorBidi" w:cstheme="majorBidi"/>
        </w:rPr>
        <w:t>ir</w:t>
      </w:r>
      <w:r>
        <w:rPr>
          <w:rFonts w:asciiTheme="majorBidi" w:eastAsia="Times New Roman" w:hAnsiTheme="majorBidi" w:cstheme="majorBidi"/>
        </w:rPr>
        <w:t xml:space="preserve"> behavior at the time they were making their post-2020 pledges </w:t>
      </w:r>
      <w:r w:rsidR="00E13589">
        <w:rPr>
          <w:rFonts w:asciiTheme="majorBidi" w:eastAsia="Times New Roman" w:hAnsiTheme="majorBidi" w:cstheme="majorBidi"/>
        </w:rPr>
        <w:t xml:space="preserve">and </w:t>
      </w:r>
      <w:r>
        <w:rPr>
          <w:rFonts w:asciiTheme="majorBidi" w:eastAsia="Times New Roman" w:hAnsiTheme="majorBidi" w:cstheme="majorBidi"/>
        </w:rPr>
        <w:t xml:space="preserve">their shortcomings of meeting their pre-2020 pledges. The steepness of the line reflects the degree of change they would need to make to be on track. This year is also significant because we have reached the first step in the 5-year ambition-raising cycle of the Paris Agreement. </w:t>
      </w:r>
      <w:r w:rsidR="00E13589">
        <w:rPr>
          <w:rFonts w:asciiTheme="majorBidi" w:eastAsia="Times New Roman" w:hAnsiTheme="majorBidi" w:cstheme="majorBidi"/>
        </w:rPr>
        <w:t xml:space="preserve">Prior to COP 26 this fall, parties were requested to submit new or updated NDCs that represent a progression in intention and actions compared to their first NDCs. </w:t>
      </w:r>
    </w:p>
    <w:p w14:paraId="34997E08" w14:textId="49A7B0C4" w:rsidR="00A80B29" w:rsidRDefault="00A80B29"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For the years 2016 to 2020, global emissions, and those of the Top Contributors, were lower than their BAU predictions were estimated to be. However, the decrease in yearly emissions came nowhere close to as low as </w:t>
      </w:r>
      <w:r>
        <w:rPr>
          <w:rFonts w:asciiTheme="majorBidi" w:eastAsia="Times New Roman" w:hAnsiTheme="majorBidi" w:cstheme="majorBidi"/>
        </w:rPr>
        <w:t>needed</w:t>
      </w:r>
      <w:r w:rsidRPr="00B55CD8">
        <w:rPr>
          <w:rFonts w:asciiTheme="majorBidi" w:eastAsia="Times New Roman" w:hAnsiTheme="majorBidi" w:cstheme="majorBidi"/>
        </w:rPr>
        <w:t xml:space="preserve"> to reach 2020 pledges or be on track to reach 2030 pledges. </w:t>
      </w:r>
      <w:r>
        <w:rPr>
          <w:rFonts w:asciiTheme="majorBidi" w:eastAsia="Times New Roman" w:hAnsiTheme="majorBidi" w:cstheme="majorBidi"/>
        </w:rPr>
        <w:t>When a</w:t>
      </w:r>
      <w:r w:rsidRPr="00B55CD8">
        <w:rPr>
          <w:rFonts w:asciiTheme="majorBidi" w:eastAsia="Times New Roman" w:hAnsiTheme="majorBidi" w:cstheme="majorBidi"/>
        </w:rPr>
        <w:t>ggregating the pledges for the period ending in 2020, their yearly emissions were meant to be lowered to 20.06 Gt of CO2 equivalent by 2020. The collected data from that year shows that the actual aggregate was 31.18 Gt of CO2 equivalent – more than 10 Gt more</w:t>
      </w:r>
      <w:r>
        <w:rPr>
          <w:rFonts w:asciiTheme="majorBidi" w:eastAsia="Times New Roman" w:hAnsiTheme="majorBidi" w:cstheme="majorBidi"/>
        </w:rPr>
        <w:t xml:space="preserve"> than the goal</w:t>
      </w:r>
      <w:r w:rsidRPr="00B55CD8">
        <w:rPr>
          <w:rFonts w:asciiTheme="majorBidi" w:eastAsia="Times New Roman" w:hAnsiTheme="majorBidi" w:cstheme="majorBidi"/>
        </w:rPr>
        <w:t xml:space="preserve">. </w:t>
      </w:r>
    </w:p>
    <w:p w14:paraId="2E91D482" w14:textId="2B924C7B" w:rsidR="009D03D3" w:rsidRDefault="002F35F5"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The INDC and NDCs these countries submitted were significantly more ambitious than their pre-2020 targets: 15.15 and 15.25 Gt CO2e before 2030, respectively.</w:t>
      </w:r>
      <w:r w:rsidRPr="00B55CD8">
        <w:rPr>
          <w:rStyle w:val="FootnoteReference"/>
          <w:rFonts w:asciiTheme="majorBidi" w:eastAsia="Times New Roman" w:hAnsiTheme="majorBidi" w:cstheme="majorBidi"/>
        </w:rPr>
        <w:footnoteReference w:id="4"/>
      </w:r>
      <w:r w:rsidR="00BC54CC">
        <w:rPr>
          <w:rFonts w:asciiTheme="majorBidi" w:eastAsia="Times New Roman" w:hAnsiTheme="majorBidi" w:cstheme="majorBidi"/>
        </w:rPr>
        <w:t xml:space="preserve"> However, e</w:t>
      </w:r>
      <w:r w:rsidR="00994D79" w:rsidRPr="00B55CD8">
        <w:rPr>
          <w:rFonts w:asciiTheme="majorBidi" w:eastAsia="Times New Roman" w:hAnsiTheme="majorBidi" w:cstheme="majorBidi"/>
        </w:rPr>
        <w:t xml:space="preserve">stimates </w:t>
      </w:r>
      <w:r w:rsidR="007F7910">
        <w:rPr>
          <w:rFonts w:asciiTheme="majorBidi" w:eastAsia="Times New Roman" w:hAnsiTheme="majorBidi" w:cstheme="majorBidi"/>
        </w:rPr>
        <w:t>show that emissions will continue to increase</w:t>
      </w:r>
      <w:r w:rsidR="00994D79" w:rsidRPr="00B55CD8">
        <w:rPr>
          <w:rFonts w:asciiTheme="majorBidi" w:eastAsia="Times New Roman" w:hAnsiTheme="majorBidi" w:cstheme="majorBidi"/>
        </w:rPr>
        <w:t xml:space="preserve"> from 2020 to 2030. Additionally, the gap between actual emissions and the pledges will be even larger</w:t>
      </w:r>
      <w:r w:rsidR="00BC54CC">
        <w:rPr>
          <w:rFonts w:asciiTheme="majorBidi" w:eastAsia="Times New Roman" w:hAnsiTheme="majorBidi" w:cstheme="majorBidi"/>
        </w:rPr>
        <w:t xml:space="preserve"> in 2030</w:t>
      </w:r>
      <w:r w:rsidR="00994D79" w:rsidRPr="00B55CD8">
        <w:rPr>
          <w:rFonts w:asciiTheme="majorBidi" w:eastAsia="Times New Roman" w:hAnsiTheme="majorBidi" w:cstheme="majorBidi"/>
        </w:rPr>
        <w:t xml:space="preserve"> than that for 2020. Compared to</w:t>
      </w:r>
      <w:r w:rsidR="004B6B1F" w:rsidRPr="00B55CD8">
        <w:rPr>
          <w:rFonts w:asciiTheme="majorBidi" w:eastAsia="Times New Roman" w:hAnsiTheme="majorBidi" w:cstheme="majorBidi"/>
        </w:rPr>
        <w:t xml:space="preserve"> the</w:t>
      </w:r>
      <w:r w:rsidR="00994D79" w:rsidRPr="00B55CD8">
        <w:rPr>
          <w:rFonts w:asciiTheme="majorBidi" w:eastAsia="Times New Roman" w:hAnsiTheme="majorBidi" w:cstheme="majorBidi"/>
        </w:rPr>
        <w:t xml:space="preserve"> aggregated NDC</w:t>
      </w:r>
      <w:r w:rsidR="004B6B1F" w:rsidRPr="00B55CD8">
        <w:rPr>
          <w:rFonts w:asciiTheme="majorBidi" w:eastAsia="Times New Roman" w:hAnsiTheme="majorBidi" w:cstheme="majorBidi"/>
        </w:rPr>
        <w:t>s</w:t>
      </w:r>
      <w:r w:rsidR="00994D79" w:rsidRPr="00B55CD8">
        <w:rPr>
          <w:rFonts w:asciiTheme="majorBidi" w:eastAsia="Times New Roman" w:hAnsiTheme="majorBidi" w:cstheme="majorBidi"/>
        </w:rPr>
        <w:t xml:space="preserve"> for the Top </w:t>
      </w:r>
      <w:r w:rsidR="00994D79" w:rsidRPr="00B55CD8">
        <w:rPr>
          <w:rFonts w:asciiTheme="majorBidi" w:eastAsia="Times New Roman" w:hAnsiTheme="majorBidi" w:cstheme="majorBidi"/>
        </w:rPr>
        <w:lastRenderedPageBreak/>
        <w:t xml:space="preserve">Contributors, estimates put emissions for the year 2030 </w:t>
      </w:r>
      <w:r w:rsidR="004B6B1F" w:rsidRPr="00B55CD8">
        <w:rPr>
          <w:rFonts w:asciiTheme="majorBidi" w:eastAsia="Times New Roman" w:hAnsiTheme="majorBidi" w:cstheme="majorBidi"/>
        </w:rPr>
        <w:t>at 19.0</w:t>
      </w:r>
      <w:r w:rsidR="00763D9F">
        <w:rPr>
          <w:rFonts w:asciiTheme="majorBidi" w:eastAsia="Times New Roman" w:hAnsiTheme="majorBidi" w:cstheme="majorBidi"/>
        </w:rPr>
        <w:t>2</w:t>
      </w:r>
      <w:r w:rsidR="004B6B1F" w:rsidRPr="00B55CD8">
        <w:rPr>
          <w:rFonts w:asciiTheme="majorBidi" w:eastAsia="Times New Roman" w:hAnsiTheme="majorBidi" w:cstheme="majorBidi"/>
        </w:rPr>
        <w:t xml:space="preserve"> Gt CO2 equivalent higher than pledged (34.26 against 15.25). </w:t>
      </w:r>
      <w:r w:rsidR="00763D9F">
        <w:rPr>
          <w:rFonts w:asciiTheme="majorBidi" w:eastAsia="Times New Roman" w:hAnsiTheme="majorBidi" w:cstheme="majorBidi"/>
        </w:rPr>
        <w:t>This is, however, smaller than the gap between pledged emissions and BAU emissions for the year 2030 (23.34).</w:t>
      </w:r>
      <w:r w:rsidR="00E13589">
        <w:rPr>
          <w:rFonts w:asciiTheme="majorBidi" w:eastAsia="Times New Roman" w:hAnsiTheme="majorBidi" w:cstheme="majorBidi"/>
        </w:rPr>
        <w:t xml:space="preserve"> As noted above, our Top Contributors collectively failed to meet their pre-2020 pledges and are on track to fail to meet the pledges of their current NDCs. Plans </w:t>
      </w:r>
      <w:r w:rsidR="00E13589" w:rsidRPr="00B55CD8">
        <w:rPr>
          <w:rFonts w:asciiTheme="majorBidi" w:eastAsia="Times New Roman" w:hAnsiTheme="majorBidi" w:cstheme="majorBidi"/>
        </w:rPr>
        <w:t xml:space="preserve">will need to be considerably </w:t>
      </w:r>
      <w:r w:rsidR="00E13589">
        <w:rPr>
          <w:rFonts w:asciiTheme="majorBidi" w:eastAsia="Times New Roman" w:hAnsiTheme="majorBidi" w:cstheme="majorBidi"/>
        </w:rPr>
        <w:t>more aggressive</w:t>
      </w:r>
      <w:r w:rsidR="00E13589" w:rsidRPr="00B55CD8">
        <w:rPr>
          <w:rFonts w:asciiTheme="majorBidi" w:eastAsia="Times New Roman" w:hAnsiTheme="majorBidi" w:cstheme="majorBidi"/>
        </w:rPr>
        <w:t xml:space="preserve"> in the next round of NDCs and </w:t>
      </w:r>
      <w:r w:rsidR="00E13589">
        <w:rPr>
          <w:rFonts w:asciiTheme="majorBidi" w:eastAsia="Times New Roman" w:hAnsiTheme="majorBidi" w:cstheme="majorBidi"/>
        </w:rPr>
        <w:t xml:space="preserve">actions must be more urgent </w:t>
      </w:r>
      <w:r w:rsidR="00E13589" w:rsidRPr="00B55CD8">
        <w:rPr>
          <w:rFonts w:asciiTheme="majorBidi" w:eastAsia="Times New Roman" w:hAnsiTheme="majorBidi" w:cstheme="majorBidi"/>
        </w:rPr>
        <w:t>throughout the decade</w:t>
      </w:r>
      <w:r w:rsidR="00E13589">
        <w:rPr>
          <w:rFonts w:asciiTheme="majorBidi" w:eastAsia="Times New Roman" w:hAnsiTheme="majorBidi" w:cstheme="majorBidi"/>
        </w:rPr>
        <w:t xml:space="preserve"> </w:t>
      </w:r>
      <w:r w:rsidR="00E13589" w:rsidRPr="00B55CD8">
        <w:rPr>
          <w:rFonts w:asciiTheme="majorBidi" w:eastAsia="Times New Roman" w:hAnsiTheme="majorBidi" w:cstheme="majorBidi"/>
        </w:rPr>
        <w:t>if members hope to close the gap</w:t>
      </w:r>
      <w:r w:rsidR="00E13589">
        <w:rPr>
          <w:rFonts w:asciiTheme="majorBidi" w:eastAsia="Times New Roman" w:hAnsiTheme="majorBidi" w:cstheme="majorBidi"/>
        </w:rPr>
        <w:t>.</w:t>
      </w:r>
    </w:p>
    <w:p w14:paraId="66FF3A88" w14:textId="53A84B66" w:rsidR="00322F3F" w:rsidRDefault="0018493C" w:rsidP="00322F3F">
      <w:pPr>
        <w:keepNext/>
        <w:spacing w:after="0"/>
        <w:jc w:val="center"/>
      </w:pPr>
      <w:r>
        <w:rPr>
          <w:noProof/>
        </w:rPr>
        <w:drawing>
          <wp:inline distT="0" distB="0" distL="0" distR="0" wp14:anchorId="7A617B97" wp14:editId="75C32D68">
            <wp:extent cx="3956364" cy="2836240"/>
            <wp:effectExtent l="0" t="0" r="6350" b="2540"/>
            <wp:docPr id="220059130" name="Picture 1" descr="A graph showing the global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59130" name="Picture 1" descr="A graph showing the global emiss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56364" cy="2836240"/>
                    </a:xfrm>
                    <a:prstGeom prst="rect">
                      <a:avLst/>
                    </a:prstGeom>
                  </pic:spPr>
                </pic:pic>
              </a:graphicData>
            </a:graphic>
          </wp:inline>
        </w:drawing>
      </w:r>
    </w:p>
    <w:p w14:paraId="088EBD42" w14:textId="355B181D" w:rsidR="00322F3F" w:rsidRPr="00F05799" w:rsidRDefault="00322F3F" w:rsidP="00322F3F">
      <w:pPr>
        <w:pStyle w:val="Caption"/>
        <w:spacing w:after="120"/>
        <w:ind w:left="1440"/>
        <w:rPr>
          <w:rFonts w:ascii="Fira Sans Condensed" w:hAnsi="Fira Sans Condensed"/>
          <w:sz w:val="16"/>
          <w:szCs w:val="16"/>
        </w:rPr>
      </w:pPr>
      <w:r>
        <w:rPr>
          <w:sz w:val="16"/>
          <w:szCs w:val="16"/>
        </w:rPr>
        <w:t xml:space="preserve">      </w:t>
      </w:r>
      <w:r w:rsidRPr="00322F3F">
        <w:rPr>
          <w:sz w:val="16"/>
          <w:szCs w:val="16"/>
        </w:rPr>
        <w:t xml:space="preserve">    </w:t>
      </w:r>
      <w:r w:rsidRPr="00F05799">
        <w:rPr>
          <w:rFonts w:ascii="Fira Sans Condensed" w:hAnsi="Fira Sans Condensed"/>
          <w:sz w:val="16"/>
          <w:szCs w:val="16"/>
        </w:rPr>
        <w:t xml:space="preserve">Figure </w:t>
      </w:r>
      <w:r w:rsidRPr="00F05799">
        <w:rPr>
          <w:rFonts w:ascii="Fira Sans Condensed" w:hAnsi="Fira Sans Condensed"/>
          <w:sz w:val="16"/>
          <w:szCs w:val="16"/>
        </w:rPr>
        <w:fldChar w:fldCharType="begin"/>
      </w:r>
      <w:r w:rsidRPr="00F05799">
        <w:rPr>
          <w:rFonts w:ascii="Fira Sans Condensed" w:hAnsi="Fira Sans Condensed"/>
          <w:sz w:val="16"/>
          <w:szCs w:val="16"/>
        </w:rPr>
        <w:instrText xml:space="preserve"> SEQ Figure \* ARABIC </w:instrText>
      </w:r>
      <w:r w:rsidRPr="00F05799">
        <w:rPr>
          <w:rFonts w:ascii="Fira Sans Condensed" w:hAnsi="Fira Sans Condensed"/>
          <w:sz w:val="16"/>
          <w:szCs w:val="16"/>
        </w:rPr>
        <w:fldChar w:fldCharType="separate"/>
      </w:r>
      <w:r w:rsidR="005F141F">
        <w:rPr>
          <w:rFonts w:ascii="Fira Sans Condensed" w:hAnsi="Fira Sans Condensed"/>
          <w:noProof/>
          <w:sz w:val="16"/>
          <w:szCs w:val="16"/>
        </w:rPr>
        <w:t>5</w:t>
      </w:r>
      <w:r w:rsidRPr="00F05799">
        <w:rPr>
          <w:rFonts w:ascii="Fira Sans Condensed" w:hAnsi="Fira Sans Condensed"/>
          <w:noProof/>
          <w:sz w:val="16"/>
          <w:szCs w:val="16"/>
        </w:rPr>
        <w:fldChar w:fldCharType="end"/>
      </w:r>
    </w:p>
    <w:p w14:paraId="2E253062" w14:textId="1B1F702D" w:rsidR="00517039" w:rsidRDefault="00094282"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As </w:t>
      </w:r>
      <w:r w:rsidR="00084092">
        <w:rPr>
          <w:rFonts w:asciiTheme="majorBidi" w:eastAsia="Times New Roman" w:hAnsiTheme="majorBidi" w:cstheme="majorBidi"/>
        </w:rPr>
        <w:t xml:space="preserve">previously </w:t>
      </w:r>
      <w:r w:rsidR="00A80B29">
        <w:rPr>
          <w:rFonts w:asciiTheme="majorBidi" w:eastAsia="Times New Roman" w:hAnsiTheme="majorBidi" w:cstheme="majorBidi"/>
        </w:rPr>
        <w:t>stated</w:t>
      </w:r>
      <w:r w:rsidRPr="00B55CD8">
        <w:rPr>
          <w:rFonts w:asciiTheme="majorBidi" w:eastAsia="Times New Roman" w:hAnsiTheme="majorBidi" w:cstheme="majorBidi"/>
        </w:rPr>
        <w:t>, the main goal of the Paris Agreement is to limit global warming to 2</w:t>
      </w:r>
      <w:r w:rsidR="00084092">
        <w:rPr>
          <w:rFonts w:asciiTheme="majorBidi" w:eastAsia="Times New Roman" w:hAnsiTheme="majorBidi" w:cstheme="majorBidi"/>
        </w:rPr>
        <w:t xml:space="preserve">°C </w:t>
      </w:r>
      <w:r w:rsidRPr="00B55CD8">
        <w:rPr>
          <w:rFonts w:asciiTheme="majorBidi" w:eastAsia="Times New Roman" w:hAnsiTheme="majorBidi" w:cstheme="majorBidi"/>
        </w:rPr>
        <w:t>while making best efforts to</w:t>
      </w:r>
      <w:r w:rsidR="00084092">
        <w:rPr>
          <w:rFonts w:asciiTheme="majorBidi" w:eastAsia="Times New Roman" w:hAnsiTheme="majorBidi" w:cstheme="majorBidi"/>
        </w:rPr>
        <w:t xml:space="preserve"> stay </w:t>
      </w:r>
      <w:r w:rsidRPr="00B55CD8">
        <w:rPr>
          <w:rFonts w:asciiTheme="majorBidi" w:eastAsia="Times New Roman" w:hAnsiTheme="majorBidi" w:cstheme="majorBidi"/>
        </w:rPr>
        <w:t>below 1.5</w:t>
      </w:r>
      <w:r w:rsidR="00084092" w:rsidRPr="00B55CD8">
        <w:rPr>
          <w:rFonts w:asciiTheme="majorBidi" w:eastAsia="Times New Roman" w:hAnsiTheme="majorBidi" w:cstheme="majorBidi"/>
        </w:rPr>
        <w:t xml:space="preserve">°C </w:t>
      </w:r>
      <w:r w:rsidR="00610777" w:rsidRPr="00B55CD8">
        <w:rPr>
          <w:rFonts w:asciiTheme="majorBidi" w:eastAsia="Times New Roman" w:hAnsiTheme="majorBidi" w:cstheme="majorBidi"/>
        </w:rPr>
        <w:t>compared with pre-industrial levels</w:t>
      </w:r>
      <w:r w:rsidRPr="00B55CD8">
        <w:rPr>
          <w:rFonts w:asciiTheme="majorBidi" w:eastAsia="Times New Roman" w:hAnsiTheme="majorBidi" w:cstheme="majorBidi"/>
        </w:rPr>
        <w:t>. In its Fifth Assessment Report</w:t>
      </w:r>
      <w:r w:rsidR="00706554" w:rsidRPr="00B55CD8">
        <w:rPr>
          <w:rStyle w:val="FootnoteReference"/>
          <w:rFonts w:asciiTheme="majorBidi" w:eastAsia="Times New Roman" w:hAnsiTheme="majorBidi" w:cstheme="majorBidi"/>
        </w:rPr>
        <w:footnoteReference w:id="5"/>
      </w:r>
      <w:r w:rsidRPr="00B55CD8">
        <w:rPr>
          <w:rFonts w:asciiTheme="majorBidi" w:eastAsia="Times New Roman" w:hAnsiTheme="majorBidi" w:cstheme="majorBidi"/>
        </w:rPr>
        <w:t xml:space="preserve">, the IPCC predicts that the paths with a </w:t>
      </w:r>
      <w:r w:rsidR="00084092">
        <w:rPr>
          <w:rFonts w:asciiTheme="majorBidi" w:eastAsia="Times New Roman" w:hAnsiTheme="majorBidi" w:cstheme="majorBidi"/>
        </w:rPr>
        <w:t xml:space="preserve">more than </w:t>
      </w:r>
      <w:r w:rsidR="00C36CCE">
        <w:rPr>
          <w:rFonts w:asciiTheme="majorBidi" w:eastAsia="Times New Roman" w:hAnsiTheme="majorBidi" w:cstheme="majorBidi"/>
        </w:rPr>
        <w:t>5</w:t>
      </w:r>
      <w:r w:rsidR="00084092">
        <w:rPr>
          <w:rFonts w:asciiTheme="majorBidi" w:eastAsia="Times New Roman" w:hAnsiTheme="majorBidi" w:cstheme="majorBidi"/>
        </w:rPr>
        <w:t>0% chance</w:t>
      </w:r>
      <w:r w:rsidRPr="00B55CD8">
        <w:rPr>
          <w:rFonts w:asciiTheme="majorBidi" w:eastAsia="Times New Roman" w:hAnsiTheme="majorBidi" w:cstheme="majorBidi"/>
        </w:rPr>
        <w:t xml:space="preserve"> of occurring require </w:t>
      </w:r>
      <w:r w:rsidR="00E86378">
        <w:rPr>
          <w:rFonts w:asciiTheme="majorBidi" w:eastAsia="Times New Roman" w:hAnsiTheme="majorBidi" w:cstheme="majorBidi"/>
        </w:rPr>
        <w:t xml:space="preserve">72% </w:t>
      </w:r>
      <w:r w:rsidR="004D56C6" w:rsidRPr="00B55CD8">
        <w:rPr>
          <w:rFonts w:asciiTheme="majorBidi" w:eastAsia="Times New Roman" w:hAnsiTheme="majorBidi" w:cstheme="majorBidi"/>
        </w:rPr>
        <w:t>and</w:t>
      </w:r>
      <w:r w:rsidRPr="00B55CD8">
        <w:rPr>
          <w:rFonts w:asciiTheme="majorBidi" w:eastAsia="Times New Roman" w:hAnsiTheme="majorBidi" w:cstheme="majorBidi"/>
        </w:rPr>
        <w:t xml:space="preserve"> </w:t>
      </w:r>
      <w:r w:rsidR="004D56C6" w:rsidRPr="00B55CD8">
        <w:rPr>
          <w:rFonts w:asciiTheme="majorBidi" w:eastAsia="Times New Roman" w:hAnsiTheme="majorBidi" w:cstheme="majorBidi"/>
        </w:rPr>
        <w:t xml:space="preserve">49.5% (42-57%) </w:t>
      </w:r>
      <w:r w:rsidRPr="00B55CD8">
        <w:rPr>
          <w:rFonts w:asciiTheme="majorBidi" w:eastAsia="Times New Roman" w:hAnsiTheme="majorBidi" w:cstheme="majorBidi"/>
        </w:rPr>
        <w:t xml:space="preserve">reductions in </w:t>
      </w:r>
      <w:r w:rsidR="00147948">
        <w:rPr>
          <w:rFonts w:asciiTheme="majorBidi" w:eastAsia="Times New Roman" w:hAnsiTheme="majorBidi" w:cstheme="majorBidi"/>
        </w:rPr>
        <w:t xml:space="preserve">global </w:t>
      </w:r>
      <w:r w:rsidRPr="00B55CD8">
        <w:rPr>
          <w:rFonts w:asciiTheme="majorBidi" w:eastAsia="Times New Roman" w:hAnsiTheme="majorBidi" w:cstheme="majorBidi"/>
        </w:rPr>
        <w:t>GHG concentrations by 2050 as compared to 2010 levels</w:t>
      </w:r>
      <w:r w:rsidR="00822E5C" w:rsidRPr="00B55CD8">
        <w:rPr>
          <w:rFonts w:asciiTheme="majorBidi" w:eastAsia="Times New Roman" w:hAnsiTheme="majorBidi" w:cstheme="majorBidi"/>
        </w:rPr>
        <w:t xml:space="preserve">, for 1.5 degrees and 2 </w:t>
      </w:r>
      <w:r w:rsidR="007C799D" w:rsidRPr="00B55CD8">
        <w:rPr>
          <w:rFonts w:asciiTheme="majorBidi" w:eastAsia="Times New Roman" w:hAnsiTheme="majorBidi" w:cstheme="majorBidi"/>
        </w:rPr>
        <w:t>degrees,</w:t>
      </w:r>
      <w:r w:rsidR="00822E5C" w:rsidRPr="00B55CD8">
        <w:rPr>
          <w:rFonts w:asciiTheme="majorBidi" w:eastAsia="Times New Roman" w:hAnsiTheme="majorBidi" w:cstheme="majorBidi"/>
        </w:rPr>
        <w:t xml:space="preserve"> respectively</w:t>
      </w:r>
      <w:r w:rsidRPr="00B55CD8">
        <w:rPr>
          <w:rFonts w:asciiTheme="majorBidi" w:eastAsia="Times New Roman" w:hAnsiTheme="majorBidi" w:cstheme="majorBidi"/>
        </w:rPr>
        <w:t xml:space="preserve">. </w:t>
      </w:r>
      <w:r w:rsidR="00706554" w:rsidRPr="00B55CD8">
        <w:rPr>
          <w:rFonts w:asciiTheme="majorBidi" w:eastAsia="Times New Roman" w:hAnsiTheme="majorBidi" w:cstheme="majorBidi"/>
        </w:rPr>
        <w:t>Th</w:t>
      </w:r>
      <w:r w:rsidR="00147948">
        <w:rPr>
          <w:rFonts w:asciiTheme="majorBidi" w:eastAsia="Times New Roman" w:hAnsiTheme="majorBidi" w:cstheme="majorBidi"/>
        </w:rPr>
        <w:t>at</w:t>
      </w:r>
      <w:r w:rsidR="00706554" w:rsidRPr="00B55CD8">
        <w:rPr>
          <w:rFonts w:asciiTheme="majorBidi" w:eastAsia="Times New Roman" w:hAnsiTheme="majorBidi" w:cstheme="majorBidi"/>
        </w:rPr>
        <w:t xml:space="preserve"> means that </w:t>
      </w:r>
      <w:r w:rsidR="00147948">
        <w:rPr>
          <w:rFonts w:asciiTheme="majorBidi" w:eastAsia="Times New Roman" w:hAnsiTheme="majorBidi" w:cstheme="majorBidi"/>
        </w:rPr>
        <w:t xml:space="preserve">global </w:t>
      </w:r>
      <w:r w:rsidR="00706554" w:rsidRPr="00B55CD8">
        <w:rPr>
          <w:rFonts w:asciiTheme="majorBidi" w:eastAsia="Times New Roman" w:hAnsiTheme="majorBidi" w:cstheme="majorBidi"/>
        </w:rPr>
        <w:t xml:space="preserve">emissions </w:t>
      </w:r>
      <w:r w:rsidR="00147948">
        <w:rPr>
          <w:rFonts w:asciiTheme="majorBidi" w:eastAsia="Times New Roman" w:hAnsiTheme="majorBidi" w:cstheme="majorBidi"/>
        </w:rPr>
        <w:t>in 2030 would</w:t>
      </w:r>
      <w:r w:rsidR="00373321">
        <w:rPr>
          <w:rFonts w:asciiTheme="majorBidi" w:eastAsia="Times New Roman" w:hAnsiTheme="majorBidi" w:cstheme="majorBidi"/>
        </w:rPr>
        <w:t xml:space="preserve"> need to</w:t>
      </w:r>
      <w:r w:rsidR="007F7910">
        <w:rPr>
          <w:rFonts w:asciiTheme="majorBidi" w:eastAsia="Times New Roman" w:hAnsiTheme="majorBidi" w:cstheme="majorBidi"/>
        </w:rPr>
        <w:t xml:space="preserve"> be</w:t>
      </w:r>
      <w:r w:rsidR="00706554" w:rsidRPr="00B55CD8">
        <w:rPr>
          <w:rFonts w:asciiTheme="majorBidi" w:eastAsia="Times New Roman" w:hAnsiTheme="majorBidi" w:cstheme="majorBidi"/>
        </w:rPr>
        <w:t xml:space="preserve"> </w:t>
      </w:r>
      <w:r w:rsidR="00E86378">
        <w:rPr>
          <w:rFonts w:asciiTheme="majorBidi" w:eastAsia="Times New Roman" w:hAnsiTheme="majorBidi" w:cstheme="majorBidi"/>
        </w:rPr>
        <w:t>28.28</w:t>
      </w:r>
      <w:r w:rsidR="00706554" w:rsidRPr="00B55CD8">
        <w:rPr>
          <w:rFonts w:asciiTheme="majorBidi" w:eastAsia="Times New Roman" w:hAnsiTheme="majorBidi" w:cstheme="majorBidi"/>
        </w:rPr>
        <w:t xml:space="preserve"> and 33.26 to be along the </w:t>
      </w:r>
      <w:r w:rsidR="00084092">
        <w:rPr>
          <w:rFonts w:asciiTheme="majorBidi" w:eastAsia="Times New Roman" w:hAnsiTheme="majorBidi" w:cstheme="majorBidi"/>
        </w:rPr>
        <w:t xml:space="preserve">1.5 </w:t>
      </w:r>
      <w:r w:rsidR="00E86378">
        <w:rPr>
          <w:rFonts w:asciiTheme="majorBidi" w:eastAsia="Times New Roman" w:hAnsiTheme="majorBidi" w:cstheme="majorBidi"/>
        </w:rPr>
        <w:t xml:space="preserve">least-cost </w:t>
      </w:r>
      <w:r w:rsidR="00084092">
        <w:rPr>
          <w:rFonts w:asciiTheme="majorBidi" w:eastAsia="Times New Roman" w:hAnsiTheme="majorBidi" w:cstheme="majorBidi"/>
        </w:rPr>
        <w:t>and 2</w:t>
      </w:r>
      <w:r w:rsidR="00084092" w:rsidRPr="00B55CD8">
        <w:rPr>
          <w:rFonts w:asciiTheme="majorBidi" w:eastAsia="Times New Roman" w:hAnsiTheme="majorBidi" w:cstheme="majorBidi"/>
        </w:rPr>
        <w:t>°C</w:t>
      </w:r>
      <w:r w:rsidR="00084092">
        <w:rPr>
          <w:rFonts w:asciiTheme="majorBidi" w:eastAsia="Times New Roman" w:hAnsiTheme="majorBidi" w:cstheme="majorBidi"/>
        </w:rPr>
        <w:t xml:space="preserve"> </w:t>
      </w:r>
      <w:r w:rsidR="00706554" w:rsidRPr="00B55CD8">
        <w:rPr>
          <w:rFonts w:asciiTheme="majorBidi" w:eastAsia="Times New Roman" w:hAnsiTheme="majorBidi" w:cstheme="majorBidi"/>
        </w:rPr>
        <w:t>mean-cost pathway</w:t>
      </w:r>
      <w:r w:rsidR="00084092">
        <w:rPr>
          <w:rFonts w:asciiTheme="majorBidi" w:eastAsia="Times New Roman" w:hAnsiTheme="majorBidi" w:cstheme="majorBidi"/>
        </w:rPr>
        <w:t>s, respectively</w:t>
      </w:r>
      <w:r w:rsidR="00987368">
        <w:rPr>
          <w:rFonts w:asciiTheme="majorBidi" w:eastAsia="Times New Roman" w:hAnsiTheme="majorBidi" w:cstheme="majorBidi"/>
        </w:rPr>
        <w:t xml:space="preserve"> (Figure </w:t>
      </w:r>
      <w:r w:rsidR="00405013">
        <w:rPr>
          <w:rFonts w:asciiTheme="majorBidi" w:eastAsia="Times New Roman" w:hAnsiTheme="majorBidi" w:cstheme="majorBidi"/>
        </w:rPr>
        <w:t>5</w:t>
      </w:r>
      <w:r w:rsidR="00987368">
        <w:rPr>
          <w:rFonts w:asciiTheme="majorBidi" w:eastAsia="Times New Roman" w:hAnsiTheme="majorBidi" w:cstheme="majorBidi"/>
        </w:rPr>
        <w:t>)</w:t>
      </w:r>
      <w:r w:rsidR="00706554" w:rsidRPr="00B55CD8">
        <w:rPr>
          <w:rFonts w:asciiTheme="majorBidi" w:eastAsia="Times New Roman" w:hAnsiTheme="majorBidi" w:cstheme="majorBidi"/>
        </w:rPr>
        <w:t xml:space="preserve">. </w:t>
      </w:r>
      <w:r w:rsidR="004854F4" w:rsidRPr="00B55CD8">
        <w:rPr>
          <w:rFonts w:asciiTheme="majorBidi" w:eastAsia="Times New Roman" w:hAnsiTheme="majorBidi" w:cstheme="majorBidi"/>
        </w:rPr>
        <w:t>Like</w:t>
      </w:r>
      <w:r w:rsidR="00AD2AE9" w:rsidRPr="00B55CD8">
        <w:rPr>
          <w:rFonts w:asciiTheme="majorBidi" w:eastAsia="Times New Roman" w:hAnsiTheme="majorBidi" w:cstheme="majorBidi"/>
        </w:rPr>
        <w:t xml:space="preserve"> with the NDCs, there is a large gap between the pathways and predicted global emissions in the year 2030</w:t>
      </w:r>
      <w:r w:rsidR="004854F4" w:rsidRPr="00B55CD8">
        <w:rPr>
          <w:rFonts w:asciiTheme="majorBidi" w:eastAsia="Times New Roman" w:hAnsiTheme="majorBidi" w:cstheme="majorBidi"/>
        </w:rPr>
        <w:t xml:space="preserve"> (</w:t>
      </w:r>
      <w:r w:rsidR="00E86378">
        <w:rPr>
          <w:rFonts w:asciiTheme="majorBidi" w:eastAsia="Times New Roman" w:hAnsiTheme="majorBidi" w:cstheme="majorBidi"/>
        </w:rPr>
        <w:t>23.34</w:t>
      </w:r>
      <w:r w:rsidR="004854F4" w:rsidRPr="00B55CD8">
        <w:rPr>
          <w:rFonts w:asciiTheme="majorBidi" w:eastAsia="Times New Roman" w:hAnsiTheme="majorBidi" w:cstheme="majorBidi"/>
        </w:rPr>
        <w:t xml:space="preserve"> and 18.36 Gt CO2e </w:t>
      </w:r>
      <w:r w:rsidR="007F7910">
        <w:rPr>
          <w:rFonts w:asciiTheme="majorBidi" w:eastAsia="Times New Roman" w:hAnsiTheme="majorBidi" w:cstheme="majorBidi"/>
        </w:rPr>
        <w:t xml:space="preserve">more </w:t>
      </w:r>
      <w:r w:rsidR="004854F4" w:rsidRPr="00B55CD8">
        <w:rPr>
          <w:rFonts w:asciiTheme="majorBidi" w:eastAsia="Times New Roman" w:hAnsiTheme="majorBidi" w:cstheme="majorBidi"/>
        </w:rPr>
        <w:t>in predicted emissions for 1.5 and 2 degrees, respectively)</w:t>
      </w:r>
      <w:r w:rsidR="00AD2AE9" w:rsidRPr="00B55CD8">
        <w:rPr>
          <w:rFonts w:asciiTheme="majorBidi" w:eastAsia="Times New Roman" w:hAnsiTheme="majorBidi" w:cstheme="majorBidi"/>
        </w:rPr>
        <w:t xml:space="preserve">. </w:t>
      </w:r>
      <w:r w:rsidR="004854F4" w:rsidRPr="00B55CD8">
        <w:rPr>
          <w:rFonts w:asciiTheme="majorBidi" w:eastAsia="Times New Roman" w:hAnsiTheme="majorBidi" w:cstheme="majorBidi"/>
        </w:rPr>
        <w:t xml:space="preserve">However, like the Top Contributors data, the predicted emissions </w:t>
      </w:r>
      <w:r w:rsidR="00E633CE" w:rsidRPr="00B55CD8">
        <w:rPr>
          <w:rFonts w:asciiTheme="majorBidi" w:eastAsia="Times New Roman" w:hAnsiTheme="majorBidi" w:cstheme="majorBidi"/>
        </w:rPr>
        <w:t>through 2030</w:t>
      </w:r>
      <w:r w:rsidR="004854F4" w:rsidRPr="00B55CD8">
        <w:rPr>
          <w:rFonts w:asciiTheme="majorBidi" w:eastAsia="Times New Roman" w:hAnsiTheme="majorBidi" w:cstheme="majorBidi"/>
        </w:rPr>
        <w:t xml:space="preserve"> are lower than those predicted for the BAU trajectory</w:t>
      </w:r>
      <w:r w:rsidR="00E633CE" w:rsidRPr="00B55CD8">
        <w:rPr>
          <w:rFonts w:asciiTheme="majorBidi" w:eastAsia="Times New Roman" w:hAnsiTheme="majorBidi" w:cstheme="majorBidi"/>
        </w:rPr>
        <w:t xml:space="preserve"> </w:t>
      </w:r>
      <w:r w:rsidR="007F7910">
        <w:rPr>
          <w:rFonts w:asciiTheme="majorBidi" w:eastAsia="Times New Roman" w:hAnsiTheme="majorBidi" w:cstheme="majorBidi"/>
        </w:rPr>
        <w:t>(</w:t>
      </w:r>
      <w:r w:rsidR="007C799D">
        <w:rPr>
          <w:rFonts w:asciiTheme="majorBidi" w:eastAsia="Times New Roman" w:hAnsiTheme="majorBidi" w:cstheme="majorBidi"/>
        </w:rPr>
        <w:t>51.61 and 58.14 Gt in 2030</w:t>
      </w:r>
      <w:r w:rsidR="007F7910">
        <w:rPr>
          <w:rFonts w:asciiTheme="majorBidi" w:eastAsia="Times New Roman" w:hAnsiTheme="majorBidi" w:cstheme="majorBidi"/>
        </w:rPr>
        <w:t xml:space="preserve">). </w:t>
      </w:r>
      <w:r w:rsidR="002640A1" w:rsidRPr="00B55CD8">
        <w:rPr>
          <w:rFonts w:asciiTheme="majorBidi" w:eastAsia="Times New Roman" w:hAnsiTheme="majorBidi" w:cstheme="majorBidi"/>
        </w:rPr>
        <w:t xml:space="preserve">As mentioned, the emissions gap here is </w:t>
      </w:r>
      <w:r w:rsidR="007C799D" w:rsidRPr="00B55CD8">
        <w:rPr>
          <w:rFonts w:asciiTheme="majorBidi" w:eastAsia="Times New Roman" w:hAnsiTheme="majorBidi" w:cstheme="majorBidi"/>
        </w:rPr>
        <w:t>significant</w:t>
      </w:r>
      <w:r w:rsidR="00E86378">
        <w:rPr>
          <w:rFonts w:asciiTheme="majorBidi" w:eastAsia="Times New Roman" w:hAnsiTheme="majorBidi" w:cstheme="majorBidi"/>
        </w:rPr>
        <w:t xml:space="preserve"> (29.85 for 1.5°C, 24.88 for 2°C).</w:t>
      </w:r>
    </w:p>
    <w:p w14:paraId="2A0BD405" w14:textId="11C1DADC" w:rsidR="00322F3F" w:rsidRPr="00F05799" w:rsidRDefault="00322F3F" w:rsidP="00322F3F">
      <w:pPr>
        <w:pStyle w:val="Caption"/>
        <w:keepNext/>
        <w:spacing w:after="0"/>
        <w:ind w:left="1440"/>
        <w:rPr>
          <w:rFonts w:ascii="Fira Sans Condensed" w:hAnsi="Fira Sans Condensed"/>
          <w:sz w:val="16"/>
          <w:szCs w:val="16"/>
        </w:rPr>
      </w:pPr>
      <w:r>
        <w:rPr>
          <w:rFonts w:ascii="Fira Sans" w:hAnsi="Fira Sans"/>
          <w:sz w:val="16"/>
          <w:szCs w:val="16"/>
        </w:rPr>
        <w:t xml:space="preserve">          </w:t>
      </w:r>
      <w:r w:rsidR="00286635">
        <w:rPr>
          <w:rFonts w:ascii="Fira Sans" w:hAnsi="Fira Sans"/>
          <w:sz w:val="16"/>
          <w:szCs w:val="16"/>
        </w:rPr>
        <w:t xml:space="preserve">  </w:t>
      </w:r>
      <w:r w:rsidRPr="00F05799">
        <w:rPr>
          <w:rFonts w:ascii="Fira Sans Condensed" w:hAnsi="Fira Sans Condensed"/>
          <w:sz w:val="16"/>
          <w:szCs w:val="16"/>
        </w:rPr>
        <w:t xml:space="preserve">Table </w:t>
      </w:r>
      <w:r w:rsidR="00084092">
        <w:rPr>
          <w:rFonts w:ascii="Fira Sans Condensed" w:hAnsi="Fira Sans Condensed"/>
          <w:sz w:val="16"/>
          <w:szCs w:val="16"/>
        </w:rPr>
        <w:t>3</w:t>
      </w:r>
      <w:r w:rsidRPr="00F05799">
        <w:rPr>
          <w:rFonts w:ascii="Fira Sans Condensed" w:hAnsi="Fira Sans Condensed"/>
          <w:sz w:val="16"/>
          <w:szCs w:val="16"/>
        </w:rPr>
        <w:t>. Goal Emissions, Predicted Emissions, and Predicted Emissions Gaps</w:t>
      </w:r>
      <w:r w:rsidR="00EB158D">
        <w:rPr>
          <w:rFonts w:ascii="Fira Sans Condensed" w:hAnsi="Fira Sans Condensed"/>
          <w:sz w:val="16"/>
          <w:szCs w:val="16"/>
        </w:rPr>
        <w:t xml:space="preserve"> in 2030</w:t>
      </w:r>
    </w:p>
    <w:p w14:paraId="6BEE24EF" w14:textId="4F05F10C" w:rsidR="00322F3F" w:rsidRPr="00322F3F" w:rsidRDefault="00286635" w:rsidP="00322F3F">
      <w:pPr>
        <w:spacing w:after="120"/>
        <w:jc w:val="center"/>
      </w:pPr>
      <w:r>
        <w:rPr>
          <w:noProof/>
        </w:rPr>
        <w:drawing>
          <wp:inline distT="0" distB="0" distL="0" distR="0" wp14:anchorId="31FD2E54" wp14:editId="00DF4E0C">
            <wp:extent cx="3505200" cy="1249679"/>
            <wp:effectExtent l="0" t="0" r="0" b="8255"/>
            <wp:docPr id="126543198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31982" name="Picture 1"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57372" cy="1268279"/>
                    </a:xfrm>
                    <a:prstGeom prst="rect">
                      <a:avLst/>
                    </a:prstGeom>
                  </pic:spPr>
                </pic:pic>
              </a:graphicData>
            </a:graphic>
          </wp:inline>
        </w:drawing>
      </w:r>
    </w:p>
    <w:p w14:paraId="057A504B" w14:textId="599A24CE" w:rsidR="00541E5B" w:rsidRDefault="00541E5B"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lastRenderedPageBreak/>
        <w:t>The data reflects that</w:t>
      </w:r>
      <w:r>
        <w:rPr>
          <w:rFonts w:asciiTheme="majorBidi" w:eastAsia="Times New Roman" w:hAnsiTheme="majorBidi" w:cstheme="majorBidi"/>
        </w:rPr>
        <w:t>,</w:t>
      </w:r>
      <w:r w:rsidRPr="00B55CD8">
        <w:rPr>
          <w:rFonts w:asciiTheme="majorBidi" w:eastAsia="Times New Roman" w:hAnsiTheme="majorBidi" w:cstheme="majorBidi"/>
        </w:rPr>
        <w:t xml:space="preserve"> on the aggregate, countries that have signed onto the Paris Agreement are not doing enough so far to </w:t>
      </w:r>
      <w:r>
        <w:rPr>
          <w:rFonts w:asciiTheme="majorBidi" w:eastAsia="Times New Roman" w:hAnsiTheme="majorBidi" w:cstheme="majorBidi"/>
        </w:rPr>
        <w:t xml:space="preserve">limit </w:t>
      </w:r>
      <w:r w:rsidRPr="00B55CD8">
        <w:rPr>
          <w:rFonts w:asciiTheme="majorBidi" w:eastAsia="Times New Roman" w:hAnsiTheme="majorBidi" w:cstheme="majorBidi"/>
        </w:rPr>
        <w:t>warming</w:t>
      </w:r>
      <w:r>
        <w:rPr>
          <w:rFonts w:asciiTheme="majorBidi" w:eastAsia="Times New Roman" w:hAnsiTheme="majorBidi" w:cstheme="majorBidi"/>
        </w:rPr>
        <w:t xml:space="preserve"> below 2°C</w:t>
      </w:r>
      <w:r w:rsidRPr="00B55CD8">
        <w:rPr>
          <w:rFonts w:asciiTheme="majorBidi" w:eastAsia="Times New Roman" w:hAnsiTheme="majorBidi" w:cstheme="majorBidi"/>
        </w:rPr>
        <w:t>. The largest emitters have not enacted policy change</w:t>
      </w:r>
      <w:r>
        <w:rPr>
          <w:rFonts w:asciiTheme="majorBidi" w:eastAsia="Times New Roman" w:hAnsiTheme="majorBidi" w:cstheme="majorBidi"/>
        </w:rPr>
        <w:t>s</w:t>
      </w:r>
      <w:r w:rsidRPr="00B55CD8">
        <w:rPr>
          <w:rFonts w:asciiTheme="majorBidi" w:eastAsia="Times New Roman" w:hAnsiTheme="majorBidi" w:cstheme="majorBidi"/>
        </w:rPr>
        <w:t xml:space="preserve"> that put them on track to meet the goals of their NDCs. These nations are also not expected to reach peak emissions before 2030. One goal of the Paris Agreement is to peak as soon as possible; the goal in 2015 was </w:t>
      </w:r>
      <w:r>
        <w:rPr>
          <w:rFonts w:asciiTheme="majorBidi" w:eastAsia="Times New Roman" w:hAnsiTheme="majorBidi" w:cstheme="majorBidi"/>
        </w:rPr>
        <w:t xml:space="preserve">for </w:t>
      </w:r>
      <w:r w:rsidRPr="00B55CD8">
        <w:rPr>
          <w:rFonts w:asciiTheme="majorBidi" w:eastAsia="Times New Roman" w:hAnsiTheme="majorBidi" w:cstheme="majorBidi"/>
        </w:rPr>
        <w:t xml:space="preserve">peak emissions by 2025. The longer it takes for emissions to </w:t>
      </w:r>
      <w:r>
        <w:rPr>
          <w:rFonts w:asciiTheme="majorBidi" w:eastAsia="Times New Roman" w:hAnsiTheme="majorBidi" w:cstheme="majorBidi"/>
        </w:rPr>
        <w:t>peak</w:t>
      </w:r>
      <w:r w:rsidRPr="00B55CD8">
        <w:rPr>
          <w:rFonts w:asciiTheme="majorBidi" w:eastAsia="Times New Roman" w:hAnsiTheme="majorBidi" w:cstheme="majorBidi"/>
        </w:rPr>
        <w:t xml:space="preserve">, the more difficult it will be to reach net zero goals and </w:t>
      </w:r>
      <w:r w:rsidR="00BD732D">
        <w:rPr>
          <w:rFonts w:asciiTheme="majorBidi" w:eastAsia="Times New Roman" w:hAnsiTheme="majorBidi" w:cstheme="majorBidi"/>
        </w:rPr>
        <w:t xml:space="preserve">stay </w:t>
      </w:r>
      <w:r w:rsidR="00084092">
        <w:rPr>
          <w:rFonts w:asciiTheme="majorBidi" w:eastAsia="Times New Roman" w:hAnsiTheme="majorBidi" w:cstheme="majorBidi"/>
        </w:rPr>
        <w:t>on track to limit warming</w:t>
      </w:r>
      <w:r w:rsidR="00BD732D">
        <w:rPr>
          <w:rFonts w:asciiTheme="majorBidi" w:eastAsia="Times New Roman" w:hAnsiTheme="majorBidi" w:cstheme="majorBidi"/>
        </w:rPr>
        <w:t>.</w:t>
      </w:r>
      <w:r>
        <w:rPr>
          <w:rFonts w:asciiTheme="majorBidi" w:eastAsia="Times New Roman" w:hAnsiTheme="majorBidi" w:cstheme="majorBidi"/>
        </w:rPr>
        <w:t xml:space="preserve"> </w:t>
      </w:r>
    </w:p>
    <w:p w14:paraId="21231E9C" w14:textId="5BDD1747" w:rsidR="0057665E" w:rsidRPr="00B55CD8" w:rsidRDefault="0057665E" w:rsidP="00FB13A9">
      <w:pPr>
        <w:spacing w:before="100" w:beforeAutospacing="1" w:after="120" w:line="240" w:lineRule="auto"/>
        <w:rPr>
          <w:rFonts w:asciiTheme="majorBidi" w:eastAsia="Times New Roman" w:hAnsiTheme="majorBidi" w:cstheme="majorBidi"/>
        </w:rPr>
      </w:pPr>
      <w:r w:rsidRPr="00B55CD8">
        <w:rPr>
          <w:rFonts w:asciiTheme="majorBidi" w:eastAsia="Times New Roman" w:hAnsiTheme="majorBidi" w:cstheme="majorBidi"/>
        </w:rPr>
        <w:t>CONCLUSION</w:t>
      </w:r>
      <w:r w:rsidR="00705C93" w:rsidRPr="00B55CD8">
        <w:rPr>
          <w:rFonts w:asciiTheme="majorBidi" w:eastAsia="Times New Roman" w:hAnsiTheme="majorBidi" w:cstheme="majorBidi"/>
        </w:rPr>
        <w:t xml:space="preserve"> – prob should cut to ~ 300</w:t>
      </w:r>
    </w:p>
    <w:p w14:paraId="629F77E1" w14:textId="1AC6D9B1" w:rsidR="00F11D79" w:rsidRDefault="00405013"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Climate change is an imminent global crisis that we are already facing the effects of</w:t>
      </w:r>
      <w:r>
        <w:rPr>
          <w:rFonts w:asciiTheme="majorBidi" w:eastAsia="Times New Roman" w:hAnsiTheme="majorBidi" w:cstheme="majorBidi"/>
        </w:rPr>
        <w:t>. S</w:t>
      </w:r>
      <w:r w:rsidRPr="00B55CD8">
        <w:rPr>
          <w:rFonts w:asciiTheme="majorBidi" w:eastAsia="Times New Roman" w:hAnsiTheme="majorBidi" w:cstheme="majorBidi"/>
        </w:rPr>
        <w:t>cientists state that if we cannot keep global warming below 1.5°C</w:t>
      </w:r>
      <w:r>
        <w:rPr>
          <w:rFonts w:asciiTheme="majorBidi" w:eastAsia="Times New Roman" w:hAnsiTheme="majorBidi" w:cstheme="majorBidi"/>
        </w:rPr>
        <w:t>,</w:t>
      </w:r>
      <w:r w:rsidRPr="00B55CD8">
        <w:rPr>
          <w:rFonts w:asciiTheme="majorBidi" w:eastAsia="Times New Roman" w:hAnsiTheme="majorBidi" w:cstheme="majorBidi"/>
        </w:rPr>
        <w:t xml:space="preserve"> we will see catastrophic consequences to our environment, including uninhabitable regions resulting in climate refugees, crop failure, and biodiversity decline.</w:t>
      </w:r>
      <w:r>
        <w:rPr>
          <w:rFonts w:asciiTheme="majorBidi" w:eastAsia="Times New Roman" w:hAnsiTheme="majorBidi" w:cstheme="majorBidi"/>
        </w:rPr>
        <w:t xml:space="preserve"> </w:t>
      </w:r>
      <w:r w:rsidR="00D53F89">
        <w:rPr>
          <w:rFonts w:asciiTheme="majorBidi" w:eastAsia="Times New Roman" w:hAnsiTheme="majorBidi" w:cstheme="majorBidi"/>
        </w:rPr>
        <w:t>T</w:t>
      </w:r>
      <w:r w:rsidR="0057665E" w:rsidRPr="00B55CD8">
        <w:rPr>
          <w:rFonts w:asciiTheme="majorBidi" w:eastAsia="Times New Roman" w:hAnsiTheme="majorBidi" w:cstheme="majorBidi"/>
        </w:rPr>
        <w:t>hose already disadvantaged</w:t>
      </w:r>
      <w:r w:rsidR="00913FEF" w:rsidRPr="00B55CD8">
        <w:rPr>
          <w:rFonts w:asciiTheme="majorBidi" w:eastAsia="Times New Roman" w:hAnsiTheme="majorBidi" w:cstheme="majorBidi"/>
        </w:rPr>
        <w:t>, both inter- and intra-nationally,</w:t>
      </w:r>
      <w:r w:rsidR="0057665E" w:rsidRPr="00B55CD8">
        <w:rPr>
          <w:rFonts w:asciiTheme="majorBidi" w:eastAsia="Times New Roman" w:hAnsiTheme="majorBidi" w:cstheme="majorBidi"/>
        </w:rPr>
        <w:t xml:space="preserve"> will face the brunt of the effects. Those countries </w:t>
      </w:r>
      <w:r w:rsidR="005A0203">
        <w:rPr>
          <w:rFonts w:asciiTheme="majorBidi" w:eastAsia="Times New Roman" w:hAnsiTheme="majorBidi" w:cstheme="majorBidi"/>
        </w:rPr>
        <w:t xml:space="preserve">and </w:t>
      </w:r>
      <w:r w:rsidR="0057665E" w:rsidRPr="00B55CD8">
        <w:rPr>
          <w:rFonts w:asciiTheme="majorBidi" w:eastAsia="Times New Roman" w:hAnsiTheme="majorBidi" w:cstheme="majorBidi"/>
        </w:rPr>
        <w:t xml:space="preserve">communities </w:t>
      </w:r>
      <w:r w:rsidR="00913FEF" w:rsidRPr="00B55CD8">
        <w:rPr>
          <w:rFonts w:asciiTheme="majorBidi" w:eastAsia="Times New Roman" w:hAnsiTheme="majorBidi" w:cstheme="majorBidi"/>
        </w:rPr>
        <w:t>that currently lack</w:t>
      </w:r>
      <w:r w:rsidR="005A0203">
        <w:rPr>
          <w:rFonts w:asciiTheme="majorBidi" w:eastAsia="Times New Roman" w:hAnsiTheme="majorBidi" w:cstheme="majorBidi"/>
        </w:rPr>
        <w:t>,</w:t>
      </w:r>
      <w:r w:rsidR="0057665E" w:rsidRPr="00B55CD8">
        <w:rPr>
          <w:rFonts w:asciiTheme="majorBidi" w:eastAsia="Times New Roman" w:hAnsiTheme="majorBidi" w:cstheme="majorBidi"/>
        </w:rPr>
        <w:t xml:space="preserve"> </w:t>
      </w:r>
      <w:r w:rsidR="005A0203">
        <w:rPr>
          <w:rFonts w:asciiTheme="majorBidi" w:eastAsia="Times New Roman" w:hAnsiTheme="majorBidi" w:cstheme="majorBidi"/>
        </w:rPr>
        <w:t xml:space="preserve">or have been systemically blocked from accessing, </w:t>
      </w:r>
      <w:r w:rsidR="0057665E" w:rsidRPr="00B55CD8">
        <w:rPr>
          <w:rFonts w:asciiTheme="majorBidi" w:eastAsia="Times New Roman" w:hAnsiTheme="majorBidi" w:cstheme="majorBidi"/>
        </w:rPr>
        <w:t>the infrastructure</w:t>
      </w:r>
      <w:r w:rsidR="007C799D">
        <w:rPr>
          <w:rFonts w:asciiTheme="majorBidi" w:eastAsia="Times New Roman" w:hAnsiTheme="majorBidi" w:cstheme="majorBidi"/>
        </w:rPr>
        <w:t>,</w:t>
      </w:r>
      <w:r w:rsidR="0057665E" w:rsidRPr="00B55CD8">
        <w:rPr>
          <w:rFonts w:asciiTheme="majorBidi" w:eastAsia="Times New Roman" w:hAnsiTheme="majorBidi" w:cstheme="majorBidi"/>
        </w:rPr>
        <w:t xml:space="preserve"> technolog</w:t>
      </w:r>
      <w:r w:rsidR="007F7910">
        <w:rPr>
          <w:rFonts w:asciiTheme="majorBidi" w:eastAsia="Times New Roman" w:hAnsiTheme="majorBidi" w:cstheme="majorBidi"/>
        </w:rPr>
        <w:t>y</w:t>
      </w:r>
      <w:r w:rsidR="00705C93" w:rsidRPr="00B55CD8">
        <w:rPr>
          <w:rFonts w:asciiTheme="majorBidi" w:eastAsia="Times New Roman" w:hAnsiTheme="majorBidi" w:cstheme="majorBidi"/>
        </w:rPr>
        <w:t>, and financial</w:t>
      </w:r>
      <w:r w:rsidR="00913FEF" w:rsidRPr="00B55CD8">
        <w:rPr>
          <w:rFonts w:asciiTheme="majorBidi" w:eastAsia="Times New Roman" w:hAnsiTheme="majorBidi" w:cstheme="majorBidi"/>
        </w:rPr>
        <w:t xml:space="preserve"> resources to mitigate these changes</w:t>
      </w:r>
      <w:r w:rsidR="00D53F89">
        <w:rPr>
          <w:rFonts w:asciiTheme="majorBidi" w:eastAsia="Times New Roman" w:hAnsiTheme="majorBidi" w:cstheme="majorBidi"/>
        </w:rPr>
        <w:t>,</w:t>
      </w:r>
      <w:r w:rsidR="00913FEF" w:rsidRPr="00B55CD8">
        <w:rPr>
          <w:rFonts w:asciiTheme="majorBidi" w:eastAsia="Times New Roman" w:hAnsiTheme="majorBidi" w:cstheme="majorBidi"/>
        </w:rPr>
        <w:t xml:space="preserve"> will all need </w:t>
      </w:r>
      <w:r w:rsidR="00213833" w:rsidRPr="00B55CD8">
        <w:rPr>
          <w:rFonts w:asciiTheme="majorBidi" w:eastAsia="Times New Roman" w:hAnsiTheme="majorBidi" w:cstheme="majorBidi"/>
        </w:rPr>
        <w:t>particular focus and investment to ensure an equitable approach to climate adap</w:t>
      </w:r>
      <w:r w:rsidR="00B72283">
        <w:rPr>
          <w:rFonts w:asciiTheme="majorBidi" w:eastAsia="Times New Roman" w:hAnsiTheme="majorBidi" w:cstheme="majorBidi"/>
        </w:rPr>
        <w:t>ta</w:t>
      </w:r>
      <w:r w:rsidR="00213833" w:rsidRPr="00B55CD8">
        <w:rPr>
          <w:rFonts w:asciiTheme="majorBidi" w:eastAsia="Times New Roman" w:hAnsiTheme="majorBidi" w:cstheme="majorBidi"/>
        </w:rPr>
        <w:t xml:space="preserve">tion and emission reduction efforts. On an international scale, industrialized and wealthy nations, particularly those that are the greatest emitters, should lead the way in investing in developing nations and the Global South. </w:t>
      </w:r>
      <w:r w:rsidR="00D30E32">
        <w:rPr>
          <w:rFonts w:asciiTheme="majorBidi" w:eastAsia="Times New Roman" w:hAnsiTheme="majorBidi" w:cstheme="majorBidi"/>
        </w:rPr>
        <w:t xml:space="preserve">As one of the leaders in both, this is particularly true for the United States. </w:t>
      </w:r>
      <w:r w:rsidR="00213833" w:rsidRPr="00B55CD8">
        <w:rPr>
          <w:rFonts w:asciiTheme="majorBidi" w:eastAsia="Times New Roman" w:hAnsiTheme="majorBidi" w:cstheme="majorBidi"/>
        </w:rPr>
        <w:t xml:space="preserve">On </w:t>
      </w:r>
      <w:r w:rsidR="001A2432">
        <w:rPr>
          <w:rFonts w:asciiTheme="majorBidi" w:eastAsia="Times New Roman" w:hAnsiTheme="majorBidi" w:cstheme="majorBidi"/>
        </w:rPr>
        <w:t>the national</w:t>
      </w:r>
      <w:r w:rsidR="00213833" w:rsidRPr="00B55CD8">
        <w:rPr>
          <w:rFonts w:asciiTheme="majorBidi" w:eastAsia="Times New Roman" w:hAnsiTheme="majorBidi" w:cstheme="majorBidi"/>
        </w:rPr>
        <w:t xml:space="preserve"> front, </w:t>
      </w:r>
      <w:r w:rsidR="00D53F89">
        <w:rPr>
          <w:rFonts w:asciiTheme="majorBidi" w:eastAsia="Times New Roman" w:hAnsiTheme="majorBidi" w:cstheme="majorBidi"/>
        </w:rPr>
        <w:t xml:space="preserve">domestic </w:t>
      </w:r>
      <w:r w:rsidR="00213833" w:rsidRPr="00B55CD8">
        <w:rPr>
          <w:rFonts w:asciiTheme="majorBidi" w:eastAsia="Times New Roman" w:hAnsiTheme="majorBidi" w:cstheme="majorBidi"/>
        </w:rPr>
        <w:t>policy must reflect this approach. We must fight for those who will be hurt first and greatest</w:t>
      </w:r>
      <w:r w:rsidR="00B72283">
        <w:rPr>
          <w:rFonts w:asciiTheme="majorBidi" w:eastAsia="Times New Roman" w:hAnsiTheme="majorBidi" w:cstheme="majorBidi"/>
        </w:rPr>
        <w:t>, and</w:t>
      </w:r>
      <w:r w:rsidR="00213833" w:rsidRPr="00B55CD8">
        <w:rPr>
          <w:rFonts w:asciiTheme="majorBidi" w:eastAsia="Times New Roman" w:hAnsiTheme="majorBidi" w:cstheme="majorBidi"/>
        </w:rPr>
        <w:t xml:space="preserve"> time is running out.</w:t>
      </w:r>
    </w:p>
    <w:p w14:paraId="747AA141" w14:textId="1F8926F6" w:rsidR="00F11D79" w:rsidRPr="00F11D79" w:rsidRDefault="008656F0" w:rsidP="00F11D79">
      <w:pPr>
        <w:spacing w:after="240" w:line="240" w:lineRule="auto"/>
        <w:rPr>
          <w:rFonts w:asciiTheme="majorBidi" w:eastAsia="Times New Roman" w:hAnsiTheme="majorBidi" w:cstheme="majorBidi"/>
        </w:rPr>
      </w:pPr>
      <w:r w:rsidRPr="00B55CD8">
        <w:rPr>
          <w:rFonts w:asciiTheme="majorBidi" w:eastAsia="Times New Roman" w:hAnsiTheme="majorBidi" w:cstheme="majorBidi"/>
        </w:rPr>
        <w:t xml:space="preserve">These countries </w:t>
      </w:r>
      <w:r>
        <w:rPr>
          <w:rFonts w:asciiTheme="majorBidi" w:eastAsia="Times New Roman" w:hAnsiTheme="majorBidi" w:cstheme="majorBidi"/>
        </w:rPr>
        <w:t>can</w:t>
      </w:r>
      <w:r w:rsidRPr="00B55CD8">
        <w:rPr>
          <w:rFonts w:asciiTheme="majorBidi" w:eastAsia="Times New Roman" w:hAnsiTheme="majorBidi" w:cstheme="majorBidi"/>
        </w:rPr>
        <w:t xml:space="preserve"> make these changes happen. The Montreal Protocol was created in 1987 to reverse the depletion of the ozone layer in the atmosphere by phasing out substances that cause ozone depletion. In 2016, scientists confirmed that the ozone layer was recovering</w:t>
      </w:r>
      <w:r>
        <w:rPr>
          <w:rFonts w:asciiTheme="majorBidi" w:eastAsia="Times New Roman" w:hAnsiTheme="majorBidi" w:cstheme="majorBidi"/>
        </w:rPr>
        <w:t>, with the possibility of</w:t>
      </w:r>
      <w:r w:rsidRPr="00B55CD8">
        <w:rPr>
          <w:rFonts w:asciiTheme="majorBidi" w:eastAsia="Times New Roman" w:hAnsiTheme="majorBidi" w:cstheme="majorBidi"/>
        </w:rPr>
        <w:t xml:space="preserve"> </w:t>
      </w:r>
      <w:r>
        <w:rPr>
          <w:rFonts w:asciiTheme="majorBidi" w:eastAsia="Times New Roman" w:hAnsiTheme="majorBidi" w:cstheme="majorBidi"/>
        </w:rPr>
        <w:t xml:space="preserve">a </w:t>
      </w:r>
      <w:r w:rsidRPr="00B55CD8">
        <w:rPr>
          <w:rFonts w:asciiTheme="majorBidi" w:eastAsia="Times New Roman" w:hAnsiTheme="majorBidi" w:cstheme="majorBidi"/>
        </w:rPr>
        <w:t>full return by 2066. The international cooperation in this treaty is an example of a successful collective, multilateral response to a global climate issue.</w:t>
      </w:r>
    </w:p>
    <w:p w14:paraId="17F82950" w14:textId="5B7D57D9" w:rsidR="00A45718" w:rsidRPr="00B55CD8" w:rsidRDefault="00A45718" w:rsidP="00F11D79">
      <w:pPr>
        <w:spacing w:after="240" w:line="240" w:lineRule="auto"/>
        <w:rPr>
          <w:rFonts w:asciiTheme="majorBidi" w:eastAsia="Times New Roman" w:hAnsiTheme="majorBidi" w:cstheme="majorBidi"/>
        </w:rPr>
      </w:pPr>
      <w:r>
        <w:rPr>
          <w:rFonts w:asciiTheme="majorBidi" w:eastAsia="Times New Roman" w:hAnsiTheme="majorBidi" w:cstheme="majorBidi"/>
        </w:rPr>
        <w:t xml:space="preserve">Governments and corporations must address and combat </w:t>
      </w:r>
      <w:r w:rsidR="00405013">
        <w:rPr>
          <w:rFonts w:asciiTheme="majorBidi" w:eastAsia="Times New Roman" w:hAnsiTheme="majorBidi" w:cstheme="majorBidi"/>
        </w:rPr>
        <w:t>climate change</w:t>
      </w:r>
      <w:r w:rsidRPr="00B55CD8">
        <w:rPr>
          <w:rFonts w:asciiTheme="majorBidi" w:eastAsia="Times New Roman" w:hAnsiTheme="majorBidi" w:cstheme="majorBidi"/>
        </w:rPr>
        <w:t xml:space="preserve"> through policies that include curbing GHG emission</w:t>
      </w:r>
      <w:r>
        <w:rPr>
          <w:rFonts w:asciiTheme="majorBidi" w:eastAsia="Times New Roman" w:hAnsiTheme="majorBidi" w:cstheme="majorBidi"/>
        </w:rPr>
        <w:t>s</w:t>
      </w:r>
      <w:r w:rsidRPr="00B55CD8">
        <w:rPr>
          <w:rFonts w:asciiTheme="majorBidi" w:eastAsia="Times New Roman" w:hAnsiTheme="majorBidi" w:cstheme="majorBidi"/>
        </w:rPr>
        <w:t>. These policies require innovative technologies, changing the status quo, and massive investment in both.</w:t>
      </w:r>
    </w:p>
    <w:sectPr w:rsidR="00A45718" w:rsidRPr="00B55CD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E91B1" w14:textId="77777777" w:rsidR="00FC4700" w:rsidRDefault="00FC4700" w:rsidP="0057665E">
      <w:pPr>
        <w:spacing w:after="0" w:line="240" w:lineRule="auto"/>
      </w:pPr>
      <w:r>
        <w:separator/>
      </w:r>
    </w:p>
  </w:endnote>
  <w:endnote w:type="continuationSeparator" w:id="0">
    <w:p w14:paraId="264C1C5A" w14:textId="77777777" w:rsidR="00FC4700" w:rsidRDefault="00FC4700" w:rsidP="00576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Condensed">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20980"/>
      <w:docPartObj>
        <w:docPartGallery w:val="Page Numbers (Bottom of Page)"/>
        <w:docPartUnique/>
      </w:docPartObj>
    </w:sdtPr>
    <w:sdtEndPr>
      <w:rPr>
        <w:rFonts w:asciiTheme="majorBidi" w:hAnsiTheme="majorBidi" w:cstheme="majorBidi"/>
        <w:noProof/>
        <w:sz w:val="20"/>
        <w:szCs w:val="20"/>
      </w:rPr>
    </w:sdtEndPr>
    <w:sdtContent>
      <w:p w14:paraId="2FFC867A" w14:textId="25DEBD67" w:rsidR="00706554" w:rsidRPr="00706554" w:rsidRDefault="00706554">
        <w:pPr>
          <w:pStyle w:val="Footer"/>
          <w:jc w:val="center"/>
          <w:rPr>
            <w:rFonts w:asciiTheme="majorBidi" w:hAnsiTheme="majorBidi" w:cstheme="majorBidi"/>
            <w:sz w:val="20"/>
            <w:szCs w:val="20"/>
          </w:rPr>
        </w:pPr>
        <w:r w:rsidRPr="00706554">
          <w:rPr>
            <w:rFonts w:asciiTheme="majorBidi" w:hAnsiTheme="majorBidi" w:cstheme="majorBidi"/>
            <w:sz w:val="20"/>
            <w:szCs w:val="20"/>
          </w:rPr>
          <w:fldChar w:fldCharType="begin"/>
        </w:r>
        <w:r w:rsidRPr="00706554">
          <w:rPr>
            <w:rFonts w:asciiTheme="majorBidi" w:hAnsiTheme="majorBidi" w:cstheme="majorBidi"/>
            <w:sz w:val="20"/>
            <w:szCs w:val="20"/>
          </w:rPr>
          <w:instrText xml:space="preserve"> PAGE   \* MERGEFORMAT </w:instrText>
        </w:r>
        <w:r w:rsidRPr="00706554">
          <w:rPr>
            <w:rFonts w:asciiTheme="majorBidi" w:hAnsiTheme="majorBidi" w:cstheme="majorBidi"/>
            <w:sz w:val="20"/>
            <w:szCs w:val="20"/>
          </w:rPr>
          <w:fldChar w:fldCharType="separate"/>
        </w:r>
        <w:r w:rsidRPr="00706554">
          <w:rPr>
            <w:rFonts w:asciiTheme="majorBidi" w:hAnsiTheme="majorBidi" w:cstheme="majorBidi"/>
            <w:noProof/>
            <w:sz w:val="20"/>
            <w:szCs w:val="20"/>
          </w:rPr>
          <w:t>2</w:t>
        </w:r>
        <w:r w:rsidRPr="00706554">
          <w:rPr>
            <w:rFonts w:asciiTheme="majorBidi" w:hAnsiTheme="majorBidi" w:cstheme="majorBidi"/>
            <w:noProof/>
            <w:sz w:val="20"/>
            <w:szCs w:val="20"/>
          </w:rPr>
          <w:fldChar w:fldCharType="end"/>
        </w:r>
      </w:p>
    </w:sdtContent>
  </w:sdt>
  <w:p w14:paraId="71A828DD" w14:textId="77777777" w:rsidR="00706554" w:rsidRPr="00706554" w:rsidRDefault="00706554">
    <w:pPr>
      <w:pStyle w:val="Footer"/>
      <w:rPr>
        <w:rFonts w:asciiTheme="majorBidi" w:hAnsiTheme="majorBidi" w:cstheme="majorBid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94EC8" w14:textId="77777777" w:rsidR="00FC4700" w:rsidRDefault="00FC4700" w:rsidP="0057665E">
      <w:pPr>
        <w:spacing w:after="0" w:line="240" w:lineRule="auto"/>
      </w:pPr>
      <w:r>
        <w:separator/>
      </w:r>
    </w:p>
  </w:footnote>
  <w:footnote w:type="continuationSeparator" w:id="0">
    <w:p w14:paraId="65327CA6" w14:textId="77777777" w:rsidR="00FC4700" w:rsidRDefault="00FC4700" w:rsidP="0057665E">
      <w:pPr>
        <w:spacing w:after="0" w:line="240" w:lineRule="auto"/>
      </w:pPr>
      <w:r>
        <w:continuationSeparator/>
      </w:r>
    </w:p>
  </w:footnote>
  <w:footnote w:id="1">
    <w:p w14:paraId="4696CD16" w14:textId="2231401C" w:rsidR="00452C18" w:rsidRPr="00452C18" w:rsidRDefault="00452C18" w:rsidP="00452C18">
      <w:pPr>
        <w:spacing w:after="0"/>
        <w:rPr>
          <w:rFonts w:asciiTheme="majorBidi" w:eastAsia="Times New Roman" w:hAnsiTheme="majorBidi" w:cstheme="majorBidi"/>
          <w:sz w:val="16"/>
          <w:szCs w:val="16"/>
        </w:rPr>
      </w:pPr>
      <w:r w:rsidRPr="00452C18">
        <w:rPr>
          <w:rStyle w:val="FootnoteReference"/>
          <w:sz w:val="16"/>
          <w:szCs w:val="16"/>
        </w:rPr>
        <w:footnoteRef/>
      </w:r>
      <w:r w:rsidRPr="00452C18">
        <w:rPr>
          <w:sz w:val="16"/>
          <w:szCs w:val="16"/>
        </w:rPr>
        <w:t xml:space="preserve"> </w:t>
      </w:r>
      <w:r w:rsidRPr="00452C18">
        <w:rPr>
          <w:rFonts w:asciiTheme="majorBidi" w:eastAsia="Times New Roman" w:hAnsiTheme="majorBidi" w:cstheme="majorBidi"/>
          <w:sz w:val="16"/>
          <w:szCs w:val="16"/>
        </w:rPr>
        <w:t xml:space="preserve">Link to the dataset &amp; information about the dataset: </w:t>
      </w:r>
      <w:hyperlink r:id="rId1" w:history="1">
        <w:r w:rsidR="00405013" w:rsidRPr="00C76AE4">
          <w:rPr>
            <w:rStyle w:val="Hyperlink"/>
            <w:rFonts w:asciiTheme="majorBidi" w:eastAsia="Times New Roman" w:hAnsiTheme="majorBidi" w:cstheme="majorBidi"/>
            <w:sz w:val="16"/>
            <w:szCs w:val="16"/>
          </w:rPr>
          <w:t>https://zenodo.org/records/5494497</w:t>
        </w:r>
      </w:hyperlink>
    </w:p>
    <w:p w14:paraId="1A2C8A31" w14:textId="50194120" w:rsidR="00452C18" w:rsidRPr="00452C18" w:rsidRDefault="00452C18" w:rsidP="00452C18">
      <w:pPr>
        <w:spacing w:after="0"/>
        <w:rPr>
          <w:rFonts w:asciiTheme="majorBidi" w:eastAsia="Times New Roman" w:hAnsiTheme="majorBidi" w:cstheme="majorBidi"/>
          <w:sz w:val="16"/>
          <w:szCs w:val="16"/>
        </w:rPr>
      </w:pPr>
      <w:r w:rsidRPr="00452C18">
        <w:rPr>
          <w:rFonts w:asciiTheme="majorBidi" w:eastAsia="Times New Roman" w:hAnsiTheme="majorBidi" w:cstheme="majorBidi"/>
          <w:sz w:val="16"/>
          <w:szCs w:val="16"/>
        </w:rPr>
        <w:t>Citation: Gütschow, J.; Pflüger, M. (202</w:t>
      </w:r>
      <w:r w:rsidR="00405013">
        <w:rPr>
          <w:rFonts w:asciiTheme="majorBidi" w:eastAsia="Times New Roman" w:hAnsiTheme="majorBidi" w:cstheme="majorBidi"/>
          <w:sz w:val="16"/>
          <w:szCs w:val="16"/>
        </w:rPr>
        <w:t>1</w:t>
      </w:r>
      <w:r w:rsidRPr="00452C18">
        <w:rPr>
          <w:rFonts w:asciiTheme="majorBidi" w:eastAsia="Times New Roman" w:hAnsiTheme="majorBidi" w:cstheme="majorBidi"/>
          <w:sz w:val="16"/>
          <w:szCs w:val="16"/>
        </w:rPr>
        <w:t>): The PRIMAP-hist national historical emissions time series v2.</w:t>
      </w:r>
      <w:r w:rsidR="00405013">
        <w:rPr>
          <w:rFonts w:asciiTheme="majorBidi" w:eastAsia="Times New Roman" w:hAnsiTheme="majorBidi" w:cstheme="majorBidi"/>
          <w:sz w:val="16"/>
          <w:szCs w:val="16"/>
        </w:rPr>
        <w:t>3.1</w:t>
      </w:r>
      <w:r w:rsidRPr="00452C18">
        <w:rPr>
          <w:rFonts w:asciiTheme="majorBidi" w:eastAsia="Times New Roman" w:hAnsiTheme="majorBidi" w:cstheme="majorBidi"/>
          <w:sz w:val="16"/>
          <w:szCs w:val="16"/>
        </w:rPr>
        <w:t xml:space="preserve"> (1750-20</w:t>
      </w:r>
      <w:r w:rsidR="00405013">
        <w:rPr>
          <w:rFonts w:asciiTheme="majorBidi" w:eastAsia="Times New Roman" w:hAnsiTheme="majorBidi" w:cstheme="majorBidi"/>
          <w:sz w:val="16"/>
          <w:szCs w:val="16"/>
        </w:rPr>
        <w:t>19</w:t>
      </w:r>
      <w:r w:rsidRPr="00452C18">
        <w:rPr>
          <w:rFonts w:asciiTheme="majorBidi" w:eastAsia="Times New Roman" w:hAnsiTheme="majorBidi" w:cstheme="majorBidi"/>
          <w:sz w:val="16"/>
          <w:szCs w:val="16"/>
        </w:rPr>
        <w:t>).</w:t>
      </w:r>
    </w:p>
    <w:p w14:paraId="7CA35346" w14:textId="18275713" w:rsidR="00452C18" w:rsidRPr="0018493C" w:rsidRDefault="00452C18" w:rsidP="0018493C">
      <w:pPr>
        <w:spacing w:after="0"/>
        <w:rPr>
          <w:rFonts w:asciiTheme="majorBidi" w:eastAsia="Times New Roman" w:hAnsiTheme="majorBidi" w:cstheme="majorBidi"/>
          <w:sz w:val="16"/>
          <w:szCs w:val="16"/>
        </w:rPr>
      </w:pPr>
      <w:r w:rsidRPr="00452C18">
        <w:rPr>
          <w:rFonts w:asciiTheme="majorBidi" w:eastAsia="Times New Roman" w:hAnsiTheme="majorBidi" w:cstheme="majorBidi"/>
          <w:sz w:val="16"/>
          <w:szCs w:val="16"/>
        </w:rPr>
        <w:t>zenodo. doi:</w:t>
      </w:r>
      <w:r w:rsidR="00405013" w:rsidRPr="00405013">
        <w:rPr>
          <w:rFonts w:asciiTheme="majorBidi" w:eastAsia="Times New Roman" w:hAnsiTheme="majorBidi" w:cstheme="majorBidi"/>
          <w:sz w:val="16"/>
          <w:szCs w:val="16"/>
        </w:rPr>
        <w:t>10.5281/zenodo.5494497.</w:t>
      </w:r>
    </w:p>
  </w:footnote>
  <w:footnote w:id="2">
    <w:p w14:paraId="2374F696" w14:textId="79ABF3B2" w:rsidR="00D271DF" w:rsidRDefault="00D271DF" w:rsidP="00D271DF">
      <w:pPr>
        <w:pStyle w:val="FootnoteText"/>
      </w:pPr>
      <w:r w:rsidRPr="00D271DF">
        <w:rPr>
          <w:rStyle w:val="FootnoteReference"/>
          <w:sz w:val="16"/>
          <w:szCs w:val="16"/>
        </w:rPr>
        <w:footnoteRef/>
      </w:r>
      <w:r w:rsidRPr="00D271DF">
        <w:rPr>
          <w:rStyle w:val="FootnoteReference"/>
          <w:sz w:val="16"/>
          <w:szCs w:val="16"/>
        </w:rPr>
        <w:t xml:space="preserve"> </w:t>
      </w:r>
      <w:r w:rsidRPr="00452C18">
        <w:rPr>
          <w:rFonts w:asciiTheme="majorBidi" w:eastAsia="Times New Roman" w:hAnsiTheme="majorBidi" w:cstheme="majorBidi"/>
          <w:sz w:val="16"/>
          <w:szCs w:val="16"/>
        </w:rPr>
        <w:t xml:space="preserve">Sources for NDCs: </w:t>
      </w:r>
      <w:hyperlink r:id="rId2" w:tgtFrame="_blank" w:history="1">
        <w:r w:rsidRPr="00452C18">
          <w:rPr>
            <w:rStyle w:val="Hyperlink"/>
            <w:rFonts w:asciiTheme="majorBidi" w:eastAsia="Times New Roman" w:hAnsiTheme="majorBidi" w:cstheme="majorBidi"/>
            <w:color w:val="auto"/>
            <w:sz w:val="16"/>
            <w:szCs w:val="16"/>
          </w:rPr>
          <w:t>Climate Watch NCD Tracker Custom Comparison</w:t>
        </w:r>
      </w:hyperlink>
      <w:r w:rsidRPr="00452C18">
        <w:rPr>
          <w:rFonts w:asciiTheme="majorBidi" w:eastAsia="Times New Roman" w:hAnsiTheme="majorBidi" w:cstheme="majorBidi"/>
          <w:sz w:val="16"/>
          <w:szCs w:val="16"/>
        </w:rPr>
        <w:t xml:space="preserve">, </w:t>
      </w:r>
      <w:hyperlink r:id="rId3" w:tgtFrame="_blank" w:history="1">
        <w:r w:rsidRPr="00452C18">
          <w:rPr>
            <w:rStyle w:val="Hyperlink"/>
            <w:rFonts w:asciiTheme="majorBidi" w:eastAsia="Times New Roman" w:hAnsiTheme="majorBidi" w:cstheme="majorBidi"/>
            <w:sz w:val="16"/>
            <w:szCs w:val="16"/>
          </w:rPr>
          <w:t>Climate Watch Explore NDCs</w:t>
        </w:r>
      </w:hyperlink>
      <w:r>
        <w:t>,</w:t>
      </w:r>
    </w:p>
  </w:footnote>
  <w:footnote w:id="3">
    <w:p w14:paraId="51C4D7B6" w14:textId="37F157BB" w:rsidR="00A45718" w:rsidRPr="00D271DF" w:rsidRDefault="00A45718" w:rsidP="00D271DF">
      <w:pPr>
        <w:pStyle w:val="FootnoteText"/>
      </w:pPr>
      <w:r w:rsidRPr="00452C18">
        <w:rPr>
          <w:rStyle w:val="FootnoteReference"/>
          <w:sz w:val="16"/>
          <w:szCs w:val="16"/>
        </w:rPr>
        <w:footnoteRef/>
      </w:r>
      <w:r w:rsidRPr="00452C18">
        <w:rPr>
          <w:sz w:val="16"/>
          <w:szCs w:val="16"/>
        </w:rPr>
        <w:t xml:space="preserve"> </w:t>
      </w:r>
      <w:r>
        <w:rPr>
          <w:rFonts w:asciiTheme="majorBidi" w:hAnsiTheme="majorBidi" w:cstheme="majorBidi"/>
          <w:sz w:val="16"/>
          <w:szCs w:val="16"/>
        </w:rPr>
        <w:t>S</w:t>
      </w:r>
      <w:r w:rsidRPr="00A45718">
        <w:rPr>
          <w:rFonts w:asciiTheme="majorBidi" w:hAnsiTheme="majorBidi" w:cstheme="majorBidi"/>
          <w:sz w:val="16"/>
          <w:szCs w:val="16"/>
        </w:rPr>
        <w:t>ources for pathways:</w:t>
      </w:r>
      <w:r>
        <w:rPr>
          <w:rFonts w:asciiTheme="majorBidi" w:hAnsiTheme="majorBidi" w:cstheme="majorBidi"/>
          <w:sz w:val="16"/>
          <w:szCs w:val="16"/>
        </w:rPr>
        <w:t xml:space="preserve"> </w:t>
      </w:r>
      <w:r w:rsidRPr="00A45718">
        <w:rPr>
          <w:rFonts w:asciiTheme="majorBidi" w:hAnsiTheme="majorBidi" w:cstheme="majorBidi"/>
          <w:sz w:val="16"/>
          <w:szCs w:val="16"/>
        </w:rPr>
        <w:t xml:space="preserve">IPCC, 2014: Climate Change 2014: Synthesis Report. Contribution of Working Groups I, II and III to the Fifth Assessment Report of the Intergovernmental Panel on Climate Change [Core Writing Team, R.K. </w:t>
      </w:r>
      <w:proofErr w:type="gramStart"/>
      <w:r w:rsidRPr="00A45718">
        <w:rPr>
          <w:rFonts w:asciiTheme="majorBidi" w:hAnsiTheme="majorBidi" w:cstheme="majorBidi"/>
          <w:sz w:val="16"/>
          <w:szCs w:val="16"/>
        </w:rPr>
        <w:t>Pachauri</w:t>
      </w:r>
      <w:proofErr w:type="gramEnd"/>
      <w:r w:rsidRPr="00A45718">
        <w:rPr>
          <w:rFonts w:asciiTheme="majorBidi" w:hAnsiTheme="majorBidi" w:cstheme="majorBidi"/>
          <w:sz w:val="16"/>
          <w:szCs w:val="16"/>
        </w:rPr>
        <w:t xml:space="preserve"> and L.A. Meyer (eds.)]. IPCC, Geneva, Switzerland, 151 pp.</w:t>
      </w:r>
    </w:p>
  </w:footnote>
  <w:footnote w:id="4">
    <w:p w14:paraId="4E93CE41" w14:textId="77777777" w:rsidR="002F35F5" w:rsidRPr="00706554" w:rsidRDefault="002F35F5" w:rsidP="002F35F5">
      <w:pPr>
        <w:pStyle w:val="FootnoteText"/>
        <w:rPr>
          <w:rFonts w:asciiTheme="majorBidi" w:hAnsiTheme="majorBidi" w:cstheme="majorBidi"/>
          <w:sz w:val="16"/>
          <w:szCs w:val="16"/>
        </w:rPr>
      </w:pPr>
      <w:r w:rsidRPr="00706554">
        <w:rPr>
          <w:rStyle w:val="FootnoteReference"/>
          <w:rFonts w:asciiTheme="majorBidi" w:hAnsiTheme="majorBidi" w:cstheme="majorBidi"/>
          <w:sz w:val="16"/>
          <w:szCs w:val="16"/>
        </w:rPr>
        <w:footnoteRef/>
      </w:r>
      <w:r w:rsidRPr="00706554">
        <w:rPr>
          <w:rFonts w:asciiTheme="majorBidi" w:hAnsiTheme="majorBidi" w:cstheme="majorBidi"/>
          <w:sz w:val="16"/>
          <w:szCs w:val="16"/>
        </w:rPr>
        <w:t xml:space="preserve"> Russia is the only country that submitted an NDC with a less aggressive goal than its INDC, from a maximum effort of 75 Gt CO2e to 70 Gt CO2e.</w:t>
      </w:r>
    </w:p>
  </w:footnote>
  <w:footnote w:id="5">
    <w:p w14:paraId="6686E9BF" w14:textId="63539913" w:rsidR="00706554" w:rsidRDefault="00706554">
      <w:pPr>
        <w:pStyle w:val="FootnoteText"/>
      </w:pPr>
      <w:r w:rsidRPr="00706554">
        <w:rPr>
          <w:rStyle w:val="FootnoteReference"/>
          <w:sz w:val="16"/>
          <w:szCs w:val="16"/>
        </w:rPr>
        <w:footnoteRef/>
      </w:r>
      <w:r w:rsidRPr="00706554">
        <w:rPr>
          <w:sz w:val="16"/>
          <w:szCs w:val="16"/>
        </w:rPr>
        <w:t xml:space="preserve"> </w:t>
      </w:r>
      <w:r w:rsidRPr="00706554">
        <w:rPr>
          <w:rFonts w:asciiTheme="majorBidi" w:eastAsia="Times New Roman" w:hAnsiTheme="majorBidi" w:cstheme="majorBidi"/>
          <w:sz w:val="16"/>
          <w:szCs w:val="16"/>
        </w:rPr>
        <w:t xml:space="preserve">This report was the basis for the Paris Agreements; the Sixth Assessment Report was released this </w:t>
      </w:r>
      <w:r w:rsidR="007C799D" w:rsidRPr="00706554">
        <w:rPr>
          <w:rFonts w:asciiTheme="majorBidi" w:eastAsia="Times New Roman" w:hAnsiTheme="majorBidi" w:cstheme="majorBidi"/>
          <w:sz w:val="16"/>
          <w:szCs w:val="16"/>
        </w:rPr>
        <w:t>year and</w:t>
      </w:r>
      <w:r w:rsidRPr="00706554">
        <w:rPr>
          <w:rFonts w:asciiTheme="majorBidi" w:eastAsia="Times New Roman" w:hAnsiTheme="majorBidi" w:cstheme="majorBidi"/>
          <w:sz w:val="16"/>
          <w:szCs w:val="16"/>
        </w:rPr>
        <w:t xml:space="preserve"> will be the basis for the next round of NDCs.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zM2NTS0MDOzMLZU0lEKTi0uzszPAykwNKwFAHkXLMgtAAAA"/>
  </w:docVars>
  <w:rsids>
    <w:rsidRoot w:val="0057665E"/>
    <w:rsid w:val="00016672"/>
    <w:rsid w:val="00023408"/>
    <w:rsid w:val="0002425D"/>
    <w:rsid w:val="00026B37"/>
    <w:rsid w:val="00032A9D"/>
    <w:rsid w:val="000410A4"/>
    <w:rsid w:val="00042EEB"/>
    <w:rsid w:val="00057255"/>
    <w:rsid w:val="000600E0"/>
    <w:rsid w:val="000606B6"/>
    <w:rsid w:val="00071788"/>
    <w:rsid w:val="0007602F"/>
    <w:rsid w:val="00083890"/>
    <w:rsid w:val="00084092"/>
    <w:rsid w:val="0008518A"/>
    <w:rsid w:val="0008588F"/>
    <w:rsid w:val="0008727D"/>
    <w:rsid w:val="000931EE"/>
    <w:rsid w:val="00094282"/>
    <w:rsid w:val="00095266"/>
    <w:rsid w:val="0009532B"/>
    <w:rsid w:val="000961FB"/>
    <w:rsid w:val="000A6A41"/>
    <w:rsid w:val="000A79FB"/>
    <w:rsid w:val="000B451A"/>
    <w:rsid w:val="000B6906"/>
    <w:rsid w:val="000C1619"/>
    <w:rsid w:val="000C2524"/>
    <w:rsid w:val="000C2F4B"/>
    <w:rsid w:val="000C2FCF"/>
    <w:rsid w:val="000D6A50"/>
    <w:rsid w:val="000E0090"/>
    <w:rsid w:val="000E0FE3"/>
    <w:rsid w:val="000E333E"/>
    <w:rsid w:val="000E3FF3"/>
    <w:rsid w:val="000E649B"/>
    <w:rsid w:val="000E6D41"/>
    <w:rsid w:val="000E718D"/>
    <w:rsid w:val="000E759F"/>
    <w:rsid w:val="000F48AC"/>
    <w:rsid w:val="00101FB3"/>
    <w:rsid w:val="00111E8F"/>
    <w:rsid w:val="001134AA"/>
    <w:rsid w:val="00122AC3"/>
    <w:rsid w:val="00124456"/>
    <w:rsid w:val="00130DF6"/>
    <w:rsid w:val="00143609"/>
    <w:rsid w:val="001436EF"/>
    <w:rsid w:val="001473F2"/>
    <w:rsid w:val="00147948"/>
    <w:rsid w:val="0015225A"/>
    <w:rsid w:val="00152C87"/>
    <w:rsid w:val="00153956"/>
    <w:rsid w:val="00163FA2"/>
    <w:rsid w:val="0016686B"/>
    <w:rsid w:val="0016728D"/>
    <w:rsid w:val="00176078"/>
    <w:rsid w:val="001774F8"/>
    <w:rsid w:val="0018493C"/>
    <w:rsid w:val="001936A2"/>
    <w:rsid w:val="001A0E10"/>
    <w:rsid w:val="001A2432"/>
    <w:rsid w:val="001A5E79"/>
    <w:rsid w:val="001B298E"/>
    <w:rsid w:val="001B2CBC"/>
    <w:rsid w:val="001C6406"/>
    <w:rsid w:val="001E03E7"/>
    <w:rsid w:val="001E06B8"/>
    <w:rsid w:val="001E61B9"/>
    <w:rsid w:val="001E6D56"/>
    <w:rsid w:val="001F1D94"/>
    <w:rsid w:val="001F4D46"/>
    <w:rsid w:val="002012EF"/>
    <w:rsid w:val="00201B60"/>
    <w:rsid w:val="00205A3C"/>
    <w:rsid w:val="0020674C"/>
    <w:rsid w:val="0021237F"/>
    <w:rsid w:val="00213833"/>
    <w:rsid w:val="00216F8E"/>
    <w:rsid w:val="00221E1E"/>
    <w:rsid w:val="00223D5A"/>
    <w:rsid w:val="002341C6"/>
    <w:rsid w:val="002365BA"/>
    <w:rsid w:val="0023747A"/>
    <w:rsid w:val="00243E6A"/>
    <w:rsid w:val="002500D4"/>
    <w:rsid w:val="002536CA"/>
    <w:rsid w:val="00253EFF"/>
    <w:rsid w:val="00256559"/>
    <w:rsid w:val="002640A1"/>
    <w:rsid w:val="002712FF"/>
    <w:rsid w:val="00280A42"/>
    <w:rsid w:val="00282080"/>
    <w:rsid w:val="00286635"/>
    <w:rsid w:val="002A3E25"/>
    <w:rsid w:val="002A3EAC"/>
    <w:rsid w:val="002A48E6"/>
    <w:rsid w:val="002A79AB"/>
    <w:rsid w:val="002B0B05"/>
    <w:rsid w:val="002B667E"/>
    <w:rsid w:val="002B6A6F"/>
    <w:rsid w:val="002C62E8"/>
    <w:rsid w:val="002C64EC"/>
    <w:rsid w:val="002D235C"/>
    <w:rsid w:val="002F10A9"/>
    <w:rsid w:val="002F35F5"/>
    <w:rsid w:val="002F4CB9"/>
    <w:rsid w:val="002F522C"/>
    <w:rsid w:val="00301972"/>
    <w:rsid w:val="00301F22"/>
    <w:rsid w:val="00304DEB"/>
    <w:rsid w:val="0030531C"/>
    <w:rsid w:val="00312531"/>
    <w:rsid w:val="00315E9D"/>
    <w:rsid w:val="00322F3F"/>
    <w:rsid w:val="003326BD"/>
    <w:rsid w:val="00335FD4"/>
    <w:rsid w:val="003363C5"/>
    <w:rsid w:val="003370E9"/>
    <w:rsid w:val="0033747D"/>
    <w:rsid w:val="00344150"/>
    <w:rsid w:val="00351475"/>
    <w:rsid w:val="0036288E"/>
    <w:rsid w:val="00364979"/>
    <w:rsid w:val="00366456"/>
    <w:rsid w:val="00371539"/>
    <w:rsid w:val="00371672"/>
    <w:rsid w:val="00373321"/>
    <w:rsid w:val="003749FC"/>
    <w:rsid w:val="00380ED3"/>
    <w:rsid w:val="00384635"/>
    <w:rsid w:val="00385DCD"/>
    <w:rsid w:val="0039124D"/>
    <w:rsid w:val="00393F4B"/>
    <w:rsid w:val="003964BE"/>
    <w:rsid w:val="003A7B3A"/>
    <w:rsid w:val="003B4B3F"/>
    <w:rsid w:val="003B6B61"/>
    <w:rsid w:val="003C23A3"/>
    <w:rsid w:val="003D4583"/>
    <w:rsid w:val="003D6FFC"/>
    <w:rsid w:val="003D71F8"/>
    <w:rsid w:val="003E14AC"/>
    <w:rsid w:val="003E5A95"/>
    <w:rsid w:val="003F511F"/>
    <w:rsid w:val="00401EFE"/>
    <w:rsid w:val="00403CCE"/>
    <w:rsid w:val="00404057"/>
    <w:rsid w:val="00404D07"/>
    <w:rsid w:val="00405013"/>
    <w:rsid w:val="00405B2B"/>
    <w:rsid w:val="004061BD"/>
    <w:rsid w:val="00406CE4"/>
    <w:rsid w:val="004135FE"/>
    <w:rsid w:val="0041623C"/>
    <w:rsid w:val="004176B7"/>
    <w:rsid w:val="00424C0A"/>
    <w:rsid w:val="00424CE8"/>
    <w:rsid w:val="0042792A"/>
    <w:rsid w:val="00452C18"/>
    <w:rsid w:val="00453661"/>
    <w:rsid w:val="00456A74"/>
    <w:rsid w:val="00456A81"/>
    <w:rsid w:val="00462EB4"/>
    <w:rsid w:val="00477D3E"/>
    <w:rsid w:val="00481F35"/>
    <w:rsid w:val="004854F4"/>
    <w:rsid w:val="00487C56"/>
    <w:rsid w:val="00497537"/>
    <w:rsid w:val="004A28B5"/>
    <w:rsid w:val="004A387D"/>
    <w:rsid w:val="004B6B1F"/>
    <w:rsid w:val="004C0FCC"/>
    <w:rsid w:val="004D0A4C"/>
    <w:rsid w:val="004D56C6"/>
    <w:rsid w:val="004D78E9"/>
    <w:rsid w:val="004E16CD"/>
    <w:rsid w:val="004E230A"/>
    <w:rsid w:val="004E4501"/>
    <w:rsid w:val="004E492B"/>
    <w:rsid w:val="004E6B08"/>
    <w:rsid w:val="004F1684"/>
    <w:rsid w:val="0050247E"/>
    <w:rsid w:val="00504754"/>
    <w:rsid w:val="005048DC"/>
    <w:rsid w:val="00504A78"/>
    <w:rsid w:val="005067DB"/>
    <w:rsid w:val="00513AA5"/>
    <w:rsid w:val="00517039"/>
    <w:rsid w:val="00517F2C"/>
    <w:rsid w:val="00521F3C"/>
    <w:rsid w:val="0052277A"/>
    <w:rsid w:val="00524079"/>
    <w:rsid w:val="00524DBF"/>
    <w:rsid w:val="00525F9D"/>
    <w:rsid w:val="00531CCA"/>
    <w:rsid w:val="0053311B"/>
    <w:rsid w:val="0053577F"/>
    <w:rsid w:val="00541E42"/>
    <w:rsid w:val="00541E5B"/>
    <w:rsid w:val="00546CDC"/>
    <w:rsid w:val="00561048"/>
    <w:rsid w:val="00561564"/>
    <w:rsid w:val="0056270E"/>
    <w:rsid w:val="00570338"/>
    <w:rsid w:val="0057665E"/>
    <w:rsid w:val="00577A15"/>
    <w:rsid w:val="005A0203"/>
    <w:rsid w:val="005A17B1"/>
    <w:rsid w:val="005A1C6F"/>
    <w:rsid w:val="005A69FD"/>
    <w:rsid w:val="005B2EAE"/>
    <w:rsid w:val="005B2FCC"/>
    <w:rsid w:val="005C02D3"/>
    <w:rsid w:val="005C201C"/>
    <w:rsid w:val="005C51B7"/>
    <w:rsid w:val="005F141F"/>
    <w:rsid w:val="006001C5"/>
    <w:rsid w:val="0061023B"/>
    <w:rsid w:val="00610777"/>
    <w:rsid w:val="0061351F"/>
    <w:rsid w:val="00615619"/>
    <w:rsid w:val="00622136"/>
    <w:rsid w:val="006255C0"/>
    <w:rsid w:val="00627D0E"/>
    <w:rsid w:val="00634F42"/>
    <w:rsid w:val="006404E9"/>
    <w:rsid w:val="006475D3"/>
    <w:rsid w:val="006503BC"/>
    <w:rsid w:val="0066158F"/>
    <w:rsid w:val="006652BF"/>
    <w:rsid w:val="00665D7B"/>
    <w:rsid w:val="00673969"/>
    <w:rsid w:val="0069258D"/>
    <w:rsid w:val="00692E25"/>
    <w:rsid w:val="0069501D"/>
    <w:rsid w:val="006A4483"/>
    <w:rsid w:val="006B448C"/>
    <w:rsid w:val="006D4588"/>
    <w:rsid w:val="006D5F51"/>
    <w:rsid w:val="006D66A5"/>
    <w:rsid w:val="006E3F29"/>
    <w:rsid w:val="006E4828"/>
    <w:rsid w:val="006F027D"/>
    <w:rsid w:val="006F27F5"/>
    <w:rsid w:val="00702713"/>
    <w:rsid w:val="00704D26"/>
    <w:rsid w:val="00705303"/>
    <w:rsid w:val="00705C93"/>
    <w:rsid w:val="00706554"/>
    <w:rsid w:val="00707395"/>
    <w:rsid w:val="00710551"/>
    <w:rsid w:val="00714385"/>
    <w:rsid w:val="00715131"/>
    <w:rsid w:val="00715D61"/>
    <w:rsid w:val="00717FDE"/>
    <w:rsid w:val="00724C31"/>
    <w:rsid w:val="007260DB"/>
    <w:rsid w:val="00726FC6"/>
    <w:rsid w:val="00731E5F"/>
    <w:rsid w:val="00733DD9"/>
    <w:rsid w:val="00740DDD"/>
    <w:rsid w:val="007448B3"/>
    <w:rsid w:val="0075001B"/>
    <w:rsid w:val="0075528D"/>
    <w:rsid w:val="007618D1"/>
    <w:rsid w:val="00762BDA"/>
    <w:rsid w:val="00763D9F"/>
    <w:rsid w:val="007710B5"/>
    <w:rsid w:val="007816F0"/>
    <w:rsid w:val="007A4535"/>
    <w:rsid w:val="007A4A52"/>
    <w:rsid w:val="007B05EB"/>
    <w:rsid w:val="007B1D17"/>
    <w:rsid w:val="007B5940"/>
    <w:rsid w:val="007B6A9E"/>
    <w:rsid w:val="007C799D"/>
    <w:rsid w:val="007D0441"/>
    <w:rsid w:val="007D0B32"/>
    <w:rsid w:val="007D0EB9"/>
    <w:rsid w:val="007E3E11"/>
    <w:rsid w:val="007E5470"/>
    <w:rsid w:val="007F2AA6"/>
    <w:rsid w:val="007F4923"/>
    <w:rsid w:val="007F4A64"/>
    <w:rsid w:val="007F7164"/>
    <w:rsid w:val="007F7910"/>
    <w:rsid w:val="00800D7C"/>
    <w:rsid w:val="00800F06"/>
    <w:rsid w:val="00806C5C"/>
    <w:rsid w:val="00806E6B"/>
    <w:rsid w:val="0081005C"/>
    <w:rsid w:val="00813AE2"/>
    <w:rsid w:val="00820938"/>
    <w:rsid w:val="00822E5C"/>
    <w:rsid w:val="00826508"/>
    <w:rsid w:val="008271CC"/>
    <w:rsid w:val="00833B96"/>
    <w:rsid w:val="00850B81"/>
    <w:rsid w:val="008612DE"/>
    <w:rsid w:val="00861722"/>
    <w:rsid w:val="008654CD"/>
    <w:rsid w:val="008656F0"/>
    <w:rsid w:val="00866D2A"/>
    <w:rsid w:val="00873C54"/>
    <w:rsid w:val="0087657F"/>
    <w:rsid w:val="008849BD"/>
    <w:rsid w:val="00886674"/>
    <w:rsid w:val="00887B85"/>
    <w:rsid w:val="00890EF7"/>
    <w:rsid w:val="008964AB"/>
    <w:rsid w:val="008A5163"/>
    <w:rsid w:val="008A77E5"/>
    <w:rsid w:val="008C31F4"/>
    <w:rsid w:val="008D4863"/>
    <w:rsid w:val="008D4E45"/>
    <w:rsid w:val="008D7198"/>
    <w:rsid w:val="008E1857"/>
    <w:rsid w:val="008E2032"/>
    <w:rsid w:val="008E3387"/>
    <w:rsid w:val="008F71E4"/>
    <w:rsid w:val="00904FEA"/>
    <w:rsid w:val="00905392"/>
    <w:rsid w:val="00910CBE"/>
    <w:rsid w:val="00910E2B"/>
    <w:rsid w:val="009125C5"/>
    <w:rsid w:val="00913FEF"/>
    <w:rsid w:val="00920487"/>
    <w:rsid w:val="009215F2"/>
    <w:rsid w:val="00930353"/>
    <w:rsid w:val="009305C0"/>
    <w:rsid w:val="0093186D"/>
    <w:rsid w:val="0093598B"/>
    <w:rsid w:val="009375AA"/>
    <w:rsid w:val="00944004"/>
    <w:rsid w:val="009544F1"/>
    <w:rsid w:val="00955AB0"/>
    <w:rsid w:val="009603D6"/>
    <w:rsid w:val="0096149D"/>
    <w:rsid w:val="0096508A"/>
    <w:rsid w:val="0097039A"/>
    <w:rsid w:val="00977593"/>
    <w:rsid w:val="009819FD"/>
    <w:rsid w:val="00987368"/>
    <w:rsid w:val="00991ECB"/>
    <w:rsid w:val="00994D79"/>
    <w:rsid w:val="00995831"/>
    <w:rsid w:val="009A7AF8"/>
    <w:rsid w:val="009B1C12"/>
    <w:rsid w:val="009B55DB"/>
    <w:rsid w:val="009C06C8"/>
    <w:rsid w:val="009C61DB"/>
    <w:rsid w:val="009D03D3"/>
    <w:rsid w:val="009D52E4"/>
    <w:rsid w:val="009D6F02"/>
    <w:rsid w:val="009F605B"/>
    <w:rsid w:val="009F64C1"/>
    <w:rsid w:val="009F7D48"/>
    <w:rsid w:val="00A0569A"/>
    <w:rsid w:val="00A0648D"/>
    <w:rsid w:val="00A14CC0"/>
    <w:rsid w:val="00A22F5A"/>
    <w:rsid w:val="00A24C8B"/>
    <w:rsid w:val="00A27FA2"/>
    <w:rsid w:val="00A328C8"/>
    <w:rsid w:val="00A354EA"/>
    <w:rsid w:val="00A36C18"/>
    <w:rsid w:val="00A45718"/>
    <w:rsid w:val="00A51C01"/>
    <w:rsid w:val="00A55D24"/>
    <w:rsid w:val="00A65589"/>
    <w:rsid w:val="00A669C8"/>
    <w:rsid w:val="00A74774"/>
    <w:rsid w:val="00A80B29"/>
    <w:rsid w:val="00A810D4"/>
    <w:rsid w:val="00A8146E"/>
    <w:rsid w:val="00A94A56"/>
    <w:rsid w:val="00A94F95"/>
    <w:rsid w:val="00AA0ED6"/>
    <w:rsid w:val="00AA5CC8"/>
    <w:rsid w:val="00AB000F"/>
    <w:rsid w:val="00AB16AA"/>
    <w:rsid w:val="00AB5610"/>
    <w:rsid w:val="00AC3977"/>
    <w:rsid w:val="00AC6C73"/>
    <w:rsid w:val="00AD09C4"/>
    <w:rsid w:val="00AD1643"/>
    <w:rsid w:val="00AD2AE9"/>
    <w:rsid w:val="00AD500B"/>
    <w:rsid w:val="00AD6431"/>
    <w:rsid w:val="00AD6DB0"/>
    <w:rsid w:val="00AE55DE"/>
    <w:rsid w:val="00AE6E28"/>
    <w:rsid w:val="00B0050C"/>
    <w:rsid w:val="00B01CD2"/>
    <w:rsid w:val="00B02084"/>
    <w:rsid w:val="00B02C08"/>
    <w:rsid w:val="00B036E4"/>
    <w:rsid w:val="00B03CA6"/>
    <w:rsid w:val="00B07395"/>
    <w:rsid w:val="00B12FBD"/>
    <w:rsid w:val="00B14785"/>
    <w:rsid w:val="00B25BAF"/>
    <w:rsid w:val="00B27A85"/>
    <w:rsid w:val="00B36524"/>
    <w:rsid w:val="00B375B5"/>
    <w:rsid w:val="00B40EA0"/>
    <w:rsid w:val="00B4252D"/>
    <w:rsid w:val="00B42BC4"/>
    <w:rsid w:val="00B45F5B"/>
    <w:rsid w:val="00B46D63"/>
    <w:rsid w:val="00B474D4"/>
    <w:rsid w:val="00B55CD8"/>
    <w:rsid w:val="00B57050"/>
    <w:rsid w:val="00B576BF"/>
    <w:rsid w:val="00B6515C"/>
    <w:rsid w:val="00B72283"/>
    <w:rsid w:val="00B73BC5"/>
    <w:rsid w:val="00B816C1"/>
    <w:rsid w:val="00B83A6D"/>
    <w:rsid w:val="00BA1CA7"/>
    <w:rsid w:val="00BB18BC"/>
    <w:rsid w:val="00BB1AB6"/>
    <w:rsid w:val="00BB2D8F"/>
    <w:rsid w:val="00BC3E5F"/>
    <w:rsid w:val="00BC54CC"/>
    <w:rsid w:val="00BD2469"/>
    <w:rsid w:val="00BD24BD"/>
    <w:rsid w:val="00BD2E72"/>
    <w:rsid w:val="00BD4E03"/>
    <w:rsid w:val="00BD732D"/>
    <w:rsid w:val="00BE753A"/>
    <w:rsid w:val="00BF0D7A"/>
    <w:rsid w:val="00C03520"/>
    <w:rsid w:val="00C06AA1"/>
    <w:rsid w:val="00C077F3"/>
    <w:rsid w:val="00C10551"/>
    <w:rsid w:val="00C1228B"/>
    <w:rsid w:val="00C12476"/>
    <w:rsid w:val="00C12F31"/>
    <w:rsid w:val="00C17545"/>
    <w:rsid w:val="00C25348"/>
    <w:rsid w:val="00C273C7"/>
    <w:rsid w:val="00C27B4E"/>
    <w:rsid w:val="00C30DB4"/>
    <w:rsid w:val="00C35C27"/>
    <w:rsid w:val="00C36CCE"/>
    <w:rsid w:val="00C36D98"/>
    <w:rsid w:val="00C37657"/>
    <w:rsid w:val="00C40F72"/>
    <w:rsid w:val="00C45DDE"/>
    <w:rsid w:val="00C476B4"/>
    <w:rsid w:val="00C47DD8"/>
    <w:rsid w:val="00C50E7C"/>
    <w:rsid w:val="00C538C9"/>
    <w:rsid w:val="00C53DC5"/>
    <w:rsid w:val="00C57BD7"/>
    <w:rsid w:val="00C61C16"/>
    <w:rsid w:val="00C61EE5"/>
    <w:rsid w:val="00C62DAD"/>
    <w:rsid w:val="00C63F9C"/>
    <w:rsid w:val="00C64720"/>
    <w:rsid w:val="00C70DCC"/>
    <w:rsid w:val="00C71632"/>
    <w:rsid w:val="00C72AC7"/>
    <w:rsid w:val="00C7441C"/>
    <w:rsid w:val="00C81EF6"/>
    <w:rsid w:val="00C8229A"/>
    <w:rsid w:val="00C8297D"/>
    <w:rsid w:val="00C84190"/>
    <w:rsid w:val="00C87716"/>
    <w:rsid w:val="00C87F0F"/>
    <w:rsid w:val="00C90136"/>
    <w:rsid w:val="00CA11DC"/>
    <w:rsid w:val="00CA5FBE"/>
    <w:rsid w:val="00CB2E58"/>
    <w:rsid w:val="00CB3420"/>
    <w:rsid w:val="00CB35F4"/>
    <w:rsid w:val="00CB59F1"/>
    <w:rsid w:val="00CC09C0"/>
    <w:rsid w:val="00CC20D2"/>
    <w:rsid w:val="00CD31DC"/>
    <w:rsid w:val="00CD4386"/>
    <w:rsid w:val="00CE03AE"/>
    <w:rsid w:val="00CE56F8"/>
    <w:rsid w:val="00CE6AC7"/>
    <w:rsid w:val="00CF0B8B"/>
    <w:rsid w:val="00CF455E"/>
    <w:rsid w:val="00D006DC"/>
    <w:rsid w:val="00D029C5"/>
    <w:rsid w:val="00D05F91"/>
    <w:rsid w:val="00D10506"/>
    <w:rsid w:val="00D12F03"/>
    <w:rsid w:val="00D1378F"/>
    <w:rsid w:val="00D15E6A"/>
    <w:rsid w:val="00D21326"/>
    <w:rsid w:val="00D271DF"/>
    <w:rsid w:val="00D30E32"/>
    <w:rsid w:val="00D34BC7"/>
    <w:rsid w:val="00D53F89"/>
    <w:rsid w:val="00D5743E"/>
    <w:rsid w:val="00D62B6C"/>
    <w:rsid w:val="00D70797"/>
    <w:rsid w:val="00D75F02"/>
    <w:rsid w:val="00D81BA9"/>
    <w:rsid w:val="00D8225F"/>
    <w:rsid w:val="00DA282B"/>
    <w:rsid w:val="00DA35E1"/>
    <w:rsid w:val="00DA664C"/>
    <w:rsid w:val="00DB1AD5"/>
    <w:rsid w:val="00DB1C46"/>
    <w:rsid w:val="00DB7A09"/>
    <w:rsid w:val="00DC0D47"/>
    <w:rsid w:val="00DC6D23"/>
    <w:rsid w:val="00DD4B93"/>
    <w:rsid w:val="00DD545A"/>
    <w:rsid w:val="00DE337E"/>
    <w:rsid w:val="00DF30DF"/>
    <w:rsid w:val="00E05EDD"/>
    <w:rsid w:val="00E06F16"/>
    <w:rsid w:val="00E13589"/>
    <w:rsid w:val="00E13ED8"/>
    <w:rsid w:val="00E14A2E"/>
    <w:rsid w:val="00E253ED"/>
    <w:rsid w:val="00E26837"/>
    <w:rsid w:val="00E3266E"/>
    <w:rsid w:val="00E37383"/>
    <w:rsid w:val="00E447CB"/>
    <w:rsid w:val="00E51BCB"/>
    <w:rsid w:val="00E51EEE"/>
    <w:rsid w:val="00E57845"/>
    <w:rsid w:val="00E633CE"/>
    <w:rsid w:val="00E66BD6"/>
    <w:rsid w:val="00E736B8"/>
    <w:rsid w:val="00E74251"/>
    <w:rsid w:val="00E80265"/>
    <w:rsid w:val="00E86378"/>
    <w:rsid w:val="00E873CF"/>
    <w:rsid w:val="00E90A1A"/>
    <w:rsid w:val="00E9575C"/>
    <w:rsid w:val="00E965AB"/>
    <w:rsid w:val="00EA012A"/>
    <w:rsid w:val="00EA39EE"/>
    <w:rsid w:val="00EA5E7F"/>
    <w:rsid w:val="00EB0715"/>
    <w:rsid w:val="00EB09F2"/>
    <w:rsid w:val="00EB158D"/>
    <w:rsid w:val="00EB1948"/>
    <w:rsid w:val="00EB41EA"/>
    <w:rsid w:val="00EB5AA1"/>
    <w:rsid w:val="00ED3312"/>
    <w:rsid w:val="00ED371C"/>
    <w:rsid w:val="00ED451E"/>
    <w:rsid w:val="00ED76D4"/>
    <w:rsid w:val="00EE030A"/>
    <w:rsid w:val="00EE30BA"/>
    <w:rsid w:val="00EE31E9"/>
    <w:rsid w:val="00EE5726"/>
    <w:rsid w:val="00EE6B77"/>
    <w:rsid w:val="00EF285B"/>
    <w:rsid w:val="00EF6CEE"/>
    <w:rsid w:val="00F00F8B"/>
    <w:rsid w:val="00F01426"/>
    <w:rsid w:val="00F022AC"/>
    <w:rsid w:val="00F031F6"/>
    <w:rsid w:val="00F0374F"/>
    <w:rsid w:val="00F05799"/>
    <w:rsid w:val="00F1161C"/>
    <w:rsid w:val="00F11D79"/>
    <w:rsid w:val="00F21A2A"/>
    <w:rsid w:val="00F3215B"/>
    <w:rsid w:val="00F333C2"/>
    <w:rsid w:val="00F33EBF"/>
    <w:rsid w:val="00F36AD7"/>
    <w:rsid w:val="00F37057"/>
    <w:rsid w:val="00F40A6F"/>
    <w:rsid w:val="00F567C2"/>
    <w:rsid w:val="00F57189"/>
    <w:rsid w:val="00F57E6F"/>
    <w:rsid w:val="00F60678"/>
    <w:rsid w:val="00F6398D"/>
    <w:rsid w:val="00F70FCD"/>
    <w:rsid w:val="00F71A0A"/>
    <w:rsid w:val="00F75FC4"/>
    <w:rsid w:val="00F82758"/>
    <w:rsid w:val="00F8674E"/>
    <w:rsid w:val="00F908D7"/>
    <w:rsid w:val="00F92B83"/>
    <w:rsid w:val="00F94F2D"/>
    <w:rsid w:val="00FA6893"/>
    <w:rsid w:val="00FA7F81"/>
    <w:rsid w:val="00FB13A9"/>
    <w:rsid w:val="00FB70E4"/>
    <w:rsid w:val="00FC4700"/>
    <w:rsid w:val="00FD3D11"/>
    <w:rsid w:val="00FD480E"/>
    <w:rsid w:val="00FD6B9E"/>
    <w:rsid w:val="00FE1E56"/>
    <w:rsid w:val="00FE28C0"/>
    <w:rsid w:val="00FE6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125C3"/>
  <w15:chartTrackingRefBased/>
  <w15:docId w15:val="{3CCEC62F-E487-4186-8EE7-6023064C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6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66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66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6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66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66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66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66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6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65E"/>
    <w:rPr>
      <w:rFonts w:eastAsiaTheme="majorEastAsia" w:cstheme="majorBidi"/>
      <w:color w:val="272727" w:themeColor="text1" w:themeTint="D8"/>
    </w:rPr>
  </w:style>
  <w:style w:type="paragraph" w:styleId="Title">
    <w:name w:val="Title"/>
    <w:basedOn w:val="Normal"/>
    <w:next w:val="Normal"/>
    <w:link w:val="TitleChar"/>
    <w:uiPriority w:val="10"/>
    <w:qFormat/>
    <w:rsid w:val="00576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665E"/>
    <w:rPr>
      <w:i/>
      <w:iCs/>
      <w:color w:val="404040" w:themeColor="text1" w:themeTint="BF"/>
    </w:rPr>
  </w:style>
  <w:style w:type="paragraph" w:styleId="ListParagraph">
    <w:name w:val="List Paragraph"/>
    <w:basedOn w:val="Normal"/>
    <w:uiPriority w:val="34"/>
    <w:qFormat/>
    <w:rsid w:val="0057665E"/>
    <w:pPr>
      <w:ind w:left="720"/>
      <w:contextualSpacing/>
    </w:pPr>
  </w:style>
  <w:style w:type="character" w:styleId="IntenseEmphasis">
    <w:name w:val="Intense Emphasis"/>
    <w:basedOn w:val="DefaultParagraphFont"/>
    <w:uiPriority w:val="21"/>
    <w:qFormat/>
    <w:rsid w:val="0057665E"/>
    <w:rPr>
      <w:i/>
      <w:iCs/>
      <w:color w:val="2F5496" w:themeColor="accent1" w:themeShade="BF"/>
    </w:rPr>
  </w:style>
  <w:style w:type="paragraph" w:styleId="IntenseQuote">
    <w:name w:val="Intense Quote"/>
    <w:basedOn w:val="Normal"/>
    <w:next w:val="Normal"/>
    <w:link w:val="IntenseQuoteChar"/>
    <w:uiPriority w:val="30"/>
    <w:qFormat/>
    <w:rsid w:val="00576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65E"/>
    <w:rPr>
      <w:i/>
      <w:iCs/>
      <w:color w:val="2F5496" w:themeColor="accent1" w:themeShade="BF"/>
    </w:rPr>
  </w:style>
  <w:style w:type="character" w:styleId="IntenseReference">
    <w:name w:val="Intense Reference"/>
    <w:basedOn w:val="DefaultParagraphFont"/>
    <w:uiPriority w:val="32"/>
    <w:qFormat/>
    <w:rsid w:val="0057665E"/>
    <w:rPr>
      <w:b/>
      <w:bCs/>
      <w:smallCaps/>
      <w:color w:val="2F5496" w:themeColor="accent1" w:themeShade="BF"/>
      <w:spacing w:val="5"/>
    </w:rPr>
  </w:style>
  <w:style w:type="character" w:styleId="Hyperlink">
    <w:name w:val="Hyperlink"/>
    <w:basedOn w:val="DefaultParagraphFont"/>
    <w:uiPriority w:val="99"/>
    <w:unhideWhenUsed/>
    <w:rsid w:val="0057665E"/>
    <w:rPr>
      <w:color w:val="0000FF"/>
      <w:u w:val="single"/>
    </w:rPr>
  </w:style>
  <w:style w:type="paragraph" w:styleId="EndnoteText">
    <w:name w:val="endnote text"/>
    <w:basedOn w:val="Normal"/>
    <w:link w:val="EndnoteTextChar"/>
    <w:uiPriority w:val="99"/>
    <w:unhideWhenUsed/>
    <w:rsid w:val="0057665E"/>
    <w:pPr>
      <w:spacing w:after="0" w:line="240" w:lineRule="auto"/>
    </w:pPr>
    <w:rPr>
      <w:sz w:val="20"/>
      <w:szCs w:val="20"/>
    </w:rPr>
  </w:style>
  <w:style w:type="character" w:customStyle="1" w:styleId="EndnoteTextChar">
    <w:name w:val="Endnote Text Char"/>
    <w:basedOn w:val="DefaultParagraphFont"/>
    <w:link w:val="EndnoteText"/>
    <w:uiPriority w:val="99"/>
    <w:rsid w:val="0057665E"/>
    <w:rPr>
      <w:sz w:val="20"/>
      <w:szCs w:val="20"/>
    </w:rPr>
  </w:style>
  <w:style w:type="character" w:styleId="EndnoteReference">
    <w:name w:val="endnote reference"/>
    <w:basedOn w:val="DefaultParagraphFont"/>
    <w:uiPriority w:val="99"/>
    <w:semiHidden/>
    <w:unhideWhenUsed/>
    <w:rsid w:val="0057665E"/>
    <w:rPr>
      <w:vertAlign w:val="superscript"/>
    </w:rPr>
  </w:style>
  <w:style w:type="character" w:styleId="UnresolvedMention">
    <w:name w:val="Unresolved Mention"/>
    <w:basedOn w:val="DefaultParagraphFont"/>
    <w:uiPriority w:val="99"/>
    <w:semiHidden/>
    <w:unhideWhenUsed/>
    <w:rsid w:val="0057665E"/>
    <w:rPr>
      <w:color w:val="605E5C"/>
      <w:shd w:val="clear" w:color="auto" w:fill="E1DFDD"/>
    </w:rPr>
  </w:style>
  <w:style w:type="character" w:styleId="FollowedHyperlink">
    <w:name w:val="FollowedHyperlink"/>
    <w:basedOn w:val="DefaultParagraphFont"/>
    <w:uiPriority w:val="99"/>
    <w:semiHidden/>
    <w:unhideWhenUsed/>
    <w:rsid w:val="0057665E"/>
    <w:rPr>
      <w:color w:val="954F72" w:themeColor="followedHyperlink"/>
      <w:u w:val="single"/>
    </w:rPr>
  </w:style>
  <w:style w:type="paragraph" w:styleId="FootnoteText">
    <w:name w:val="footnote text"/>
    <w:basedOn w:val="Normal"/>
    <w:link w:val="FootnoteTextChar"/>
    <w:uiPriority w:val="99"/>
    <w:semiHidden/>
    <w:unhideWhenUsed/>
    <w:rsid w:val="001436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09"/>
    <w:rPr>
      <w:sz w:val="20"/>
      <w:szCs w:val="20"/>
    </w:rPr>
  </w:style>
  <w:style w:type="character" w:styleId="FootnoteReference">
    <w:name w:val="footnote reference"/>
    <w:basedOn w:val="DefaultParagraphFont"/>
    <w:uiPriority w:val="99"/>
    <w:semiHidden/>
    <w:unhideWhenUsed/>
    <w:rsid w:val="00143609"/>
    <w:rPr>
      <w:vertAlign w:val="superscript"/>
    </w:rPr>
  </w:style>
  <w:style w:type="paragraph" w:styleId="Header">
    <w:name w:val="header"/>
    <w:basedOn w:val="Normal"/>
    <w:link w:val="HeaderChar"/>
    <w:uiPriority w:val="99"/>
    <w:unhideWhenUsed/>
    <w:rsid w:val="004E1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CD"/>
  </w:style>
  <w:style w:type="paragraph" w:styleId="Footer">
    <w:name w:val="footer"/>
    <w:basedOn w:val="Normal"/>
    <w:link w:val="FooterChar"/>
    <w:uiPriority w:val="99"/>
    <w:unhideWhenUsed/>
    <w:rsid w:val="004E1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CD"/>
  </w:style>
  <w:style w:type="character" w:styleId="CommentReference">
    <w:name w:val="annotation reference"/>
    <w:basedOn w:val="DefaultParagraphFont"/>
    <w:uiPriority w:val="99"/>
    <w:semiHidden/>
    <w:unhideWhenUsed/>
    <w:rsid w:val="00B73BC5"/>
    <w:rPr>
      <w:sz w:val="16"/>
      <w:szCs w:val="16"/>
    </w:rPr>
  </w:style>
  <w:style w:type="paragraph" w:styleId="CommentText">
    <w:name w:val="annotation text"/>
    <w:basedOn w:val="Normal"/>
    <w:link w:val="CommentTextChar"/>
    <w:uiPriority w:val="99"/>
    <w:unhideWhenUsed/>
    <w:rsid w:val="00B73BC5"/>
    <w:pPr>
      <w:spacing w:line="240" w:lineRule="auto"/>
    </w:pPr>
    <w:rPr>
      <w:sz w:val="20"/>
      <w:szCs w:val="20"/>
    </w:rPr>
  </w:style>
  <w:style w:type="character" w:customStyle="1" w:styleId="CommentTextChar">
    <w:name w:val="Comment Text Char"/>
    <w:basedOn w:val="DefaultParagraphFont"/>
    <w:link w:val="CommentText"/>
    <w:uiPriority w:val="99"/>
    <w:rsid w:val="00B73BC5"/>
    <w:rPr>
      <w:sz w:val="20"/>
      <w:szCs w:val="20"/>
    </w:rPr>
  </w:style>
  <w:style w:type="paragraph" w:styleId="CommentSubject">
    <w:name w:val="annotation subject"/>
    <w:basedOn w:val="CommentText"/>
    <w:next w:val="CommentText"/>
    <w:link w:val="CommentSubjectChar"/>
    <w:uiPriority w:val="99"/>
    <w:semiHidden/>
    <w:unhideWhenUsed/>
    <w:rsid w:val="00B73BC5"/>
    <w:rPr>
      <w:b/>
      <w:bCs/>
    </w:rPr>
  </w:style>
  <w:style w:type="character" w:customStyle="1" w:styleId="CommentSubjectChar">
    <w:name w:val="Comment Subject Char"/>
    <w:basedOn w:val="CommentTextChar"/>
    <w:link w:val="CommentSubject"/>
    <w:uiPriority w:val="99"/>
    <w:semiHidden/>
    <w:rsid w:val="00B73BC5"/>
    <w:rPr>
      <w:b/>
      <w:bCs/>
      <w:sz w:val="20"/>
      <w:szCs w:val="20"/>
    </w:rPr>
  </w:style>
  <w:style w:type="paragraph" w:styleId="Caption">
    <w:name w:val="caption"/>
    <w:basedOn w:val="Normal"/>
    <w:next w:val="Normal"/>
    <w:uiPriority w:val="35"/>
    <w:unhideWhenUsed/>
    <w:qFormat/>
    <w:rsid w:val="00322F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73619">
      <w:bodyDiv w:val="1"/>
      <w:marLeft w:val="0"/>
      <w:marRight w:val="0"/>
      <w:marTop w:val="0"/>
      <w:marBottom w:val="0"/>
      <w:divBdr>
        <w:top w:val="none" w:sz="0" w:space="0" w:color="auto"/>
        <w:left w:val="none" w:sz="0" w:space="0" w:color="auto"/>
        <w:bottom w:val="none" w:sz="0" w:space="0" w:color="auto"/>
        <w:right w:val="none" w:sz="0" w:space="0" w:color="auto"/>
      </w:divBdr>
    </w:div>
    <w:div w:id="504856246">
      <w:bodyDiv w:val="1"/>
      <w:marLeft w:val="0"/>
      <w:marRight w:val="0"/>
      <w:marTop w:val="0"/>
      <w:marBottom w:val="0"/>
      <w:divBdr>
        <w:top w:val="none" w:sz="0" w:space="0" w:color="auto"/>
        <w:left w:val="none" w:sz="0" w:space="0" w:color="auto"/>
        <w:bottom w:val="none" w:sz="0" w:space="0" w:color="auto"/>
        <w:right w:val="none" w:sz="0" w:space="0" w:color="auto"/>
      </w:divBdr>
      <w:divsChild>
        <w:div w:id="1450856362">
          <w:marLeft w:val="0"/>
          <w:marRight w:val="0"/>
          <w:marTop w:val="0"/>
          <w:marBottom w:val="0"/>
          <w:divBdr>
            <w:top w:val="none" w:sz="0" w:space="0" w:color="auto"/>
            <w:left w:val="none" w:sz="0" w:space="0" w:color="auto"/>
            <w:bottom w:val="none" w:sz="0" w:space="0" w:color="auto"/>
            <w:right w:val="none" w:sz="0" w:space="0" w:color="auto"/>
          </w:divBdr>
          <w:divsChild>
            <w:div w:id="692078185">
              <w:marLeft w:val="0"/>
              <w:marRight w:val="0"/>
              <w:marTop w:val="0"/>
              <w:marBottom w:val="0"/>
              <w:divBdr>
                <w:top w:val="none" w:sz="0" w:space="0" w:color="auto"/>
                <w:left w:val="none" w:sz="0" w:space="0" w:color="auto"/>
                <w:bottom w:val="none" w:sz="0" w:space="0" w:color="auto"/>
                <w:right w:val="none" w:sz="0" w:space="0" w:color="auto"/>
              </w:divBdr>
            </w:div>
          </w:divsChild>
        </w:div>
        <w:div w:id="627011526">
          <w:marLeft w:val="0"/>
          <w:marRight w:val="0"/>
          <w:marTop w:val="0"/>
          <w:marBottom w:val="0"/>
          <w:divBdr>
            <w:top w:val="none" w:sz="0" w:space="0" w:color="auto"/>
            <w:left w:val="none" w:sz="0" w:space="0" w:color="auto"/>
            <w:bottom w:val="none" w:sz="0" w:space="0" w:color="auto"/>
            <w:right w:val="none" w:sz="0" w:space="0" w:color="auto"/>
          </w:divBdr>
          <w:divsChild>
            <w:div w:id="1028947604">
              <w:marLeft w:val="0"/>
              <w:marRight w:val="0"/>
              <w:marTop w:val="0"/>
              <w:marBottom w:val="0"/>
              <w:divBdr>
                <w:top w:val="none" w:sz="0" w:space="0" w:color="auto"/>
                <w:left w:val="none" w:sz="0" w:space="0" w:color="auto"/>
                <w:bottom w:val="none" w:sz="0" w:space="0" w:color="auto"/>
                <w:right w:val="none" w:sz="0" w:space="0" w:color="auto"/>
              </w:divBdr>
            </w:div>
          </w:divsChild>
        </w:div>
        <w:div w:id="1116603767">
          <w:marLeft w:val="0"/>
          <w:marRight w:val="0"/>
          <w:marTop w:val="0"/>
          <w:marBottom w:val="0"/>
          <w:divBdr>
            <w:top w:val="none" w:sz="0" w:space="0" w:color="auto"/>
            <w:left w:val="none" w:sz="0" w:space="0" w:color="auto"/>
            <w:bottom w:val="none" w:sz="0" w:space="0" w:color="auto"/>
            <w:right w:val="none" w:sz="0" w:space="0" w:color="auto"/>
          </w:divBdr>
          <w:divsChild>
            <w:div w:id="7267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410">
      <w:bodyDiv w:val="1"/>
      <w:marLeft w:val="0"/>
      <w:marRight w:val="0"/>
      <w:marTop w:val="0"/>
      <w:marBottom w:val="0"/>
      <w:divBdr>
        <w:top w:val="none" w:sz="0" w:space="0" w:color="auto"/>
        <w:left w:val="none" w:sz="0" w:space="0" w:color="auto"/>
        <w:bottom w:val="none" w:sz="0" w:space="0" w:color="auto"/>
        <w:right w:val="none" w:sz="0" w:space="0" w:color="auto"/>
      </w:divBdr>
      <w:divsChild>
        <w:div w:id="1449816304">
          <w:marLeft w:val="0"/>
          <w:marRight w:val="0"/>
          <w:marTop w:val="0"/>
          <w:marBottom w:val="0"/>
          <w:divBdr>
            <w:top w:val="none" w:sz="0" w:space="0" w:color="auto"/>
            <w:left w:val="none" w:sz="0" w:space="0" w:color="auto"/>
            <w:bottom w:val="none" w:sz="0" w:space="0" w:color="auto"/>
            <w:right w:val="none" w:sz="0" w:space="0" w:color="auto"/>
          </w:divBdr>
          <w:divsChild>
            <w:div w:id="1830365342">
              <w:marLeft w:val="0"/>
              <w:marRight w:val="0"/>
              <w:marTop w:val="0"/>
              <w:marBottom w:val="0"/>
              <w:divBdr>
                <w:top w:val="none" w:sz="0" w:space="0" w:color="auto"/>
                <w:left w:val="none" w:sz="0" w:space="0" w:color="auto"/>
                <w:bottom w:val="none" w:sz="0" w:space="0" w:color="auto"/>
                <w:right w:val="none" w:sz="0" w:space="0" w:color="auto"/>
              </w:divBdr>
            </w:div>
          </w:divsChild>
        </w:div>
        <w:div w:id="736173433">
          <w:marLeft w:val="0"/>
          <w:marRight w:val="0"/>
          <w:marTop w:val="0"/>
          <w:marBottom w:val="0"/>
          <w:divBdr>
            <w:top w:val="none" w:sz="0" w:space="0" w:color="auto"/>
            <w:left w:val="none" w:sz="0" w:space="0" w:color="auto"/>
            <w:bottom w:val="none" w:sz="0" w:space="0" w:color="auto"/>
            <w:right w:val="none" w:sz="0" w:space="0" w:color="auto"/>
          </w:divBdr>
          <w:divsChild>
            <w:div w:id="1186210189">
              <w:marLeft w:val="0"/>
              <w:marRight w:val="0"/>
              <w:marTop w:val="0"/>
              <w:marBottom w:val="0"/>
              <w:divBdr>
                <w:top w:val="none" w:sz="0" w:space="0" w:color="auto"/>
                <w:left w:val="none" w:sz="0" w:space="0" w:color="auto"/>
                <w:bottom w:val="none" w:sz="0" w:space="0" w:color="auto"/>
                <w:right w:val="none" w:sz="0" w:space="0" w:color="auto"/>
              </w:divBdr>
            </w:div>
          </w:divsChild>
        </w:div>
        <w:div w:id="1737892748">
          <w:marLeft w:val="0"/>
          <w:marRight w:val="0"/>
          <w:marTop w:val="0"/>
          <w:marBottom w:val="0"/>
          <w:divBdr>
            <w:top w:val="none" w:sz="0" w:space="0" w:color="auto"/>
            <w:left w:val="none" w:sz="0" w:space="0" w:color="auto"/>
            <w:bottom w:val="none" w:sz="0" w:space="0" w:color="auto"/>
            <w:right w:val="none" w:sz="0" w:space="0" w:color="auto"/>
          </w:divBdr>
          <w:divsChild>
            <w:div w:id="8272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433">
      <w:bodyDiv w:val="1"/>
      <w:marLeft w:val="0"/>
      <w:marRight w:val="0"/>
      <w:marTop w:val="0"/>
      <w:marBottom w:val="0"/>
      <w:divBdr>
        <w:top w:val="none" w:sz="0" w:space="0" w:color="auto"/>
        <w:left w:val="none" w:sz="0" w:space="0" w:color="auto"/>
        <w:bottom w:val="none" w:sz="0" w:space="0" w:color="auto"/>
        <w:right w:val="none" w:sz="0" w:space="0" w:color="auto"/>
      </w:divBdr>
    </w:div>
    <w:div w:id="809323697">
      <w:bodyDiv w:val="1"/>
      <w:marLeft w:val="0"/>
      <w:marRight w:val="0"/>
      <w:marTop w:val="0"/>
      <w:marBottom w:val="0"/>
      <w:divBdr>
        <w:top w:val="none" w:sz="0" w:space="0" w:color="auto"/>
        <w:left w:val="none" w:sz="0" w:space="0" w:color="auto"/>
        <w:bottom w:val="none" w:sz="0" w:space="0" w:color="auto"/>
        <w:right w:val="none" w:sz="0" w:space="0" w:color="auto"/>
      </w:divBdr>
    </w:div>
    <w:div w:id="15434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climatewatchdata.org/ndcs/country/JPN?document=revised_first_ndc" TargetMode="External"/><Relationship Id="rId2" Type="http://schemas.openxmlformats.org/officeDocument/2006/relationships/hyperlink" Target="https://www.climatewatchdata.org/custom-compare/overview?targets=BRA-pledges%2CBRA-first_ndc%2CBRA-revised_first_ndc" TargetMode="External"/><Relationship Id="rId1" Type="http://schemas.openxmlformats.org/officeDocument/2006/relationships/hyperlink" Target="https://zenodo.org/records/5494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5A0C-623C-4779-9155-ECE10E9A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Walter</dc:creator>
  <cp:keywords/>
  <dc:description/>
  <cp:lastModifiedBy>Elizabeth Walter</cp:lastModifiedBy>
  <cp:revision>6</cp:revision>
  <cp:lastPrinted>2025-04-15T19:42:00Z</cp:lastPrinted>
  <dcterms:created xsi:type="dcterms:W3CDTF">2025-04-12T19:40:00Z</dcterms:created>
  <dcterms:modified xsi:type="dcterms:W3CDTF">2025-04-15T19:43:00Z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61f27e9ef63e5b876995a595d9acc6a394c488f5211a7d75ba86dc547f168fba</vt:lpwstr>
  </property>
</Properties>
</file>