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55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報告編號：</w:t>
            </w:r>
            <w:r>
              <w:rPr>
                <w:rFonts w:eastAsia="新細明體" w:hint="eastAsia"/>
                <w:szCs w:val="21"/>
                <w:lang w:eastAsia="zh-TW"/>
              </w:rPr>
              <w:t>QC1506210305</w:t>
            </w:r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貓糧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t>貓糧</w:t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