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b/>
                <w:color w:val="38BDF8"/>
                <w:sz w:val="19"/>
              </w:rPr>
              <w:t>[PROCÉDURES OPÉRATIONNELLES]</w:t>
              <w:br/>
            </w:r>
            <w:r>
              <w:rPr>
                <w:b/>
                <w:color w:val="FFFFFF"/>
                <w:sz w:val="34"/>
              </w:rPr>
              <w:t>FORMULAIRES OFFICIELS &amp; PROCÉDURES DE GUICHET</w:t>
              <w:br/>
            </w:r>
            <w:r>
              <w:rPr>
                <w:color w:val="CBD5E1"/>
                <w:sz w:val="21"/>
              </w:rPr>
              <w:t>Fiches Certifiées COOPECTAT • Demandes de Prêt avec Pièce Jointe • Fiche Retrait N° R</w:t>
              <w:br/>
              <w:t>Obligation Formelle de Déplacement Physique en Agence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r>
              <w:rPr>
                <w:b/>
                <w:color w:val="B91C1C"/>
                <w:sz w:val="20"/>
              </w:rPr>
              <w:t>⚠️ OBLIGATION FORMELLE DE DÉPLACEMENT EN AGENCE</w:t>
              <w:br/>
            </w:r>
            <w:r>
              <w:rPr>
                <w:color w:val="7F1D1D"/>
                <w:sz w:val="19"/>
              </w:rPr>
              <w:t>RÈGLE D'ORDRE PUBLIC ET DE CONTRÔLE INTERNE :</w:t>
              <w:br/>
              <w:t>La génération numérique d'une fiche de retrait avec QR Code pré-enregistre la transaction et sécurise la provision. Toutefois, le sociétaire a l'OBLIGATION ABSOLUE ET FORMELLE DE SE DÉPLACER PHYSIQUEMENT AU GUICHET DE L'AGENCE muni de sa pièce d'identité pour émarger la quittance et percevoir les espèces en main propre.</w:t>
            </w:r>
          </w:p>
        </w:tc>
      </w:tr>
    </w:tbl>
    <w:p/>
    <w:p>
      <w:pPr>
        <w:pStyle w:val="Heading1"/>
      </w:pPr>
      <w:r>
        <w:t>1. Fiche de Retrait Partiel N° R (Architecture en 5 Sections)</w:t>
      </w:r>
    </w:p>
    <w:p>
      <w:r>
        <w:t>Section 1 : Demande du Sociétaire (Nom, Prénoms, Matricule ASECNA, Montant en chiffres et lettres, Compte à débiter).</w:t>
        <w:br/>
        <w:t>Section 2 : Analyse Prudentielle par la Gérante (Vérification de l'Épargne Actuelle, Épargne Garantie de 50 000 F, Engagements Long Terme en cours, et calcul du Retrait Maximal Possible).</w:t>
        <w:br/>
        <w:t>Section 3 : Avis du Comité de Crédit (Visa, montant accordé et signature du Président du Comité).</w:t>
        <w:br/>
        <w:t>Section 4 : Autorisation de Paiement par le Trésorier Général (TG) et le Président du Conseil d'Administration (PCA).</w:t>
        <w:br/>
        <w:t>Section 5 : Décaissement en Caisse et Émargement Manuscrit (Contrôle d'identité, signature du caissier et signature pour décharge du sociétaire).</w:t>
      </w:r>
    </w:p>
    <w:p>
      <w:pPr>
        <w:pStyle w:val="Heading1"/>
      </w:pPr>
      <w:r>
        <w:t>2. Demande de Prêt en Ligne avec Pièce Jointe et Écrit Formel</w:t>
      </w:r>
    </w:p>
    <w:p>
      <w:r>
        <w:t>Le portail mobile et web permet au sociétaire de déposer un dossier complet :</w:t>
        <w:br/>
        <w:t>• Écrit formel / Motivation de la demande : Texte manuscrit ou rédigé justifiant le besoin de financement et autorisant le prélèvement sur paie.</w:t>
        <w:br/>
        <w:t>• Pièce jointe justificative : Possibilité de charger un fichier PDF / Image (devis d'équipement, facture proforma, lettre signée, etc.).</w:t>
        <w:br/>
        <w:t>• Simulateur Linéaire / Dégressif interactif avec calcul instantané de la mensualité et du ratio DSTI.</w:t>
        <w:br/>
        <w:t>• Suivi de la Demande sur 18 mois : Filtre temporel permettant d'examiner l'historique complet d'instruction (Statuts : Soumis, Analyse de crédit, Avis du Comité, Accordé, Rejeté).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7"/>
      </w:rPr>
      <w:t>COOPECTAT ASECNA TOGO • Système Core Banking Banolia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