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936"/>
      </w:tblGrid>
      <w:tr>
        <w:tc>
          <w:tcPr>
            <w:tcW w:type="dxa" w:w="9792"/>
            <w:shd w:fill="0F172A"/>
            <w:tcMar>
              <w:top w:w="260" w:type="dxa"/>
              <w:bottom w:w="260" w:type="dxa"/>
              <w:left w:w="260" w:type="dxa"/>
              <w:right w:w="260" w:type="dxa"/>
            </w:tcMar>
          </w:tcPr>
          <w:p>
            <w:pPr>
              <w:jc w:val="center"/>
            </w:pPr>
            <w:r>
              <w:rPr>
                <w:b/>
                <w:color w:val="38BDF8"/>
                <w:sz w:val="19"/>
              </w:rPr>
              <w:t>[DOCUMENT DE RÉFÉRENCE CONSOLIDÉ]</w:t>
              <w:br/>
            </w:r>
            <w:r>
              <w:rPr>
                <w:b/>
                <w:color w:val="FFFFFF"/>
                <w:sz w:val="34"/>
              </w:rPr>
              <w:t>MANUEL COMPLET DU CORE BANKING COOPÉRATIF</w:t>
              <w:br/>
            </w:r>
            <w:r>
              <w:rPr>
                <w:color w:val="CBD5E1"/>
                <w:sz w:val="21"/>
              </w:rPr>
              <w:t>PLATEFORME BANOLIA • COOPECTAT ASECNA TOGO</w:t>
              <w:br/>
              <w:t>Référentiel Exhaustif des Spécifications Techniques, Financières, Actuarielles &amp; Métier</w:t>
            </w:r>
          </w:p>
        </w:tc>
      </w:tr>
    </w:tbl>
    <w:p/>
    <w:p>
      <w:pPr>
        <w:pStyle w:val="Heading1"/>
      </w:pPr>
      <w:r>
        <w:t>Sommaire Général du Manuel</w:t>
      </w:r>
    </w:p>
    <w:p>
      <w:r>
        <w:t>1. Présentation Générale de l'Écosystème Banolia Core Banking</w:t>
        <w:br/>
        <w:t>2. Le Statut du Sociétaire (Philosophie Coopérative vs Client Bancaire)</w:t>
        <w:br/>
        <w:t>3. La Carte du Sociétaire en Gris Titane &amp; Acier Métallisé</w:t>
        <w:br/>
        <w:t>4. Référentiel des Calculs Financiers et Actuariels (Linéaire vs Dégressif)</w:t>
        <w:br/>
        <w:t>5. Règles Prudentielles du Retrait Maximum sur Épargne</w:t>
        <w:br/>
        <w:t>6. Règle de Quotité Cessible et Ratio d'Endettement DSTI</w:t>
        <w:br/>
        <w:t>7. Module Officiel des Prélèvements sur Salaire ASECNA</w:t>
        <w:br/>
        <w:t>8. Formulaires Officiels, Fiche N° R et Obligation de Présence Physique en Agence</w:t>
        <w:br/>
        <w:t>9. Demandes de Prêt en Ligne (Écrit formel, Pièce jointe &amp; Suivi 18 mois)</w:t>
        <w:br/>
        <w:t>10. Architecture Multi-Plateformes et Sécurité Offline-First</w:t>
      </w:r>
    </w:p>
    <w:p>
      <w:pPr>
        <w:pStyle w:val="Heading1"/>
      </w:pPr>
      <w:r>
        <w:t>1. Présentation de la Coopérative et de la Plateforme Banolia</w:t>
      </w:r>
    </w:p>
    <w:p>
      <w:r>
        <w:t>La Coopérative d'Épargne et de Crédit COOPECTAT (Agrément N° 130/MEFP/SG/CAS-IMEC) regroupe le personnel et les agents de l'ASECNA au Togo. Pour administrer ses opérations dans le respect strict des normes de la BCEAO et du SYSCOHADA SFD, elle déploie la plateforme intégrée Banolia, comprenant :</w:t>
        <w:br/>
        <w:t>• Banolia Server : Serveur d'orchestration, API REST sécurisée, grand livre comptable et coffre-fort transactionnel.</w:t>
        <w:br/>
        <w:t>• Banolia Desktop : Interface de travail complète pour la Gérante, les Caissiers, le Comité de Crédit et le Conseil d'Administration.</w:t>
        <w:br/>
        <w:t>• Banolia Mobile (Flutter) : Application mobile sociétaire offline-first disponible sur Android, iOS et PWA.</w:t>
        <w:br/>
        <w:t>• Portail Vitrine : Site officiel d'information et d'adhésion en ligne.</w:t>
      </w:r>
    </w:p>
    <w:p>
      <w:pPr>
        <w:pStyle w:val="Heading1"/>
      </w:pPr>
      <w:r>
        <w:t>2. Qu'est-ce qu'un Sociétaire ? (vs Client Ordinaire)</w:t>
      </w:r>
    </w:p>
    <w:p>
      <w:r>
        <w:t>Le sociétaire est un copropriétaire de l'institution. À la différence d'un client ordinaire de banque commerciale qui est un simple consommateur extérieur enrichissant des actionnaires privés, le sociétaire détient des parts sociales, participe à l'Assemblée Générale annuelle avec le pouvoir démocratique « Une Personne = Une Voix », et perçoit des ristournes sur les excédents. La coopérative n'a pas de but spéculatif : sa mission est de servir ses membres au coût le plus juste.</w:t>
      </w:r>
    </w:p>
    <w:p>
      <w:pPr>
        <w:pStyle w:val="Heading1"/>
      </w:pPr>
      <w:r>
        <w:t>3. La Carte du Sociétaire en Gris Titane</w:t>
      </w:r>
    </w:p>
    <w:p>
      <w:r>
        <w:t>La carte sociétaire est officiellement stylisée avec un dégradé de Gris Titane et Acier Métallisé (#64748B, #475569, #334155, #1E293B), incarnant la solidité, la précision et la rigueur aéronautique du personnel de l'ASECNA. Elle porte le matricule de l'agent (ex. 130049), son numéro de livret normalisé (2512 1100 1300 4901) et permet son authentification rapide par puce ou NFC aux guichets.</w:t>
      </w:r>
    </w:p>
    <w:p>
      <w:pPr>
        <w:pStyle w:val="Heading1"/>
      </w:pPr>
      <w:r>
        <w:t>4. Tous les Calculs Financiers et Actuariels Expliqués</w:t>
      </w:r>
    </w:p>
    <w:p>
      <w:r>
        <w:t>Grille Officielle des Prêts (Plafond 15 000 000 F CFA) :</w:t>
        <w:br/>
        <w:t>• Court Terme (0 à 12 mois) : 5,00 % Linéaire Constant</w:t>
        <w:br/>
        <w:t>• Moyen Terme (13 à 36 mois) : 10,00 % Linéaire Constant</w:t>
        <w:br/>
        <w:t>• Long Terme (37 à 60 mois) : 9,00 % Dégressif sur Capital Restant Dû (CRD)</w:t>
        <w:br/>
        <w:br/>
        <w:t>Pourquoi le Linéaire sur Court/Moyen Terme ?</w:t>
        <w:br/>
        <w:t>L'intérêt total = C0 × (Taux / 100) × (n / 12). La mensualité = (C0 / n) + [C0 × (Taux / 100) / 12]. Elle est strictement constante, simplifiant le prélèvement sur salaire, et permet de couvrir les charges incompressibles de montage et d'analyse du dossier sans facturer de frais de dossier prohibitifs.</w:t>
        <w:br/>
        <w:br/>
        <w:t>Pourquoi le Dégressif sur Long Terme ?</w:t>
        <w:br/>
        <w:t>L'intérêt mensuel est calculé chaque mois sur le CRD (i = 0,09 / 12 = 0,0075). Mensualité M = C0 × [i / (1 - (1+i)^-n)]. Sur 4 ou 5 ans, un calcul linéaire ferait exploser le TEG au-delà du seuil légal d'usure bancaire fixé par la BCEAO (24%). Le dégressif garantit un TEG légalement à 9%, ne fait payer d'intérêts que sur le capital encore dû, et permet au sociétaire de solder son prêt par anticipation sans payer d'intérêts futurs !</w:t>
      </w:r>
    </w:p>
    <w:p>
      <w:pPr>
        <w:pStyle w:val="Heading1"/>
      </w:pPr>
      <w:r>
        <w:t>5. Règle du Retrait Maximum</w:t>
      </w:r>
    </w:p>
    <w:p>
      <w:r>
        <w:t>• Pour les sociétaires sans crédit long terme : Retrait Max = Solde Disponible Direct.</w:t>
        <w:br/>
        <w:t>• Pour les sociétaires avec crédit long terme en cours (37 à 60 mois) :</w:t>
        <w:br/>
        <w:t xml:space="preserve">    Retrait Max = Épargne Actuelle - Épargne Garantie (50 000 F) - Crédit Long Terme en cours (CRD).</w:t>
        <w:br/>
        <w:t>Cette règle prudentielle protège la coopérative en empêchant qu'un membre débiteur n'assèche sa garantie d'épargne tant que son prêt lourd n'est pas remboursé.</w:t>
      </w:r>
    </w:p>
    <w:tbl>
      <w:tblPr>
        <w:tblW w:type="auto" w:w="0"/>
        <w:jc w:val="center"/>
        <w:tblLook w:firstColumn="1" w:firstRow="1" w:lastColumn="0" w:lastRow="0" w:noHBand="0" w:noVBand="1" w:val="04A0"/>
      </w:tblPr>
      <w:tblGrid>
        <w:gridCol w:w="9936"/>
      </w:tblGrid>
      <w:tr>
        <w:tc>
          <w:tcPr>
            <w:tcW w:type="dxa" w:w="9792"/>
            <w:shd w:fill="FEF2F2"/>
            <w:tcMar>
              <w:top w:w="140" w:type="dxa"/>
              <w:bottom w:w="140" w:type="dxa"/>
              <w:left w:w="180" w:type="dxa"/>
              <w:right w:w="180" w:type="dxa"/>
            </w:tcMar>
            <w:tcBorders>
              <w:top w:val="none"/>
              <w:left w:val="single" w:sz="36" w:space="0" w:color="DC2626"/>
              <w:bottom w:val="none"/>
              <w:right w:val="none"/>
            </w:tcBorders>
          </w:tcPr>
          <w:p>
            <w:r>
              <w:rPr>
                <w:b/>
                <w:color w:val="B91C1C"/>
                <w:sz w:val="20"/>
              </w:rPr>
              <w:t>⚠️ OBLIGATION PHYSIQUE AU GUICHET</w:t>
              <w:br/>
            </w:r>
            <w:r>
              <w:rPr>
                <w:color w:val="7F1D1D"/>
                <w:sz w:val="19"/>
              </w:rPr>
              <w:t>OBLIGATION FORMELLE DE SE DÉPLACER EN AGENCE :</w:t>
              <w:br/>
              <w:t>La fiche de retrait numérique génère un bordereau officiel avec QR Code. Cependant, le sociétaire a l'obligation formelle de se déplacer physiquement en agence / au guichet pour émarger la quittance et percevoir les espèces.</w:t>
            </w:r>
          </w:p>
        </w:tc>
      </w:tr>
    </w:tbl>
    <w:p/>
    <w:p>
      <w:pPr>
        <w:pStyle w:val="Heading1"/>
      </w:pPr>
      <w:r>
        <w:t>6. Module Prélèvement &amp; Suivi des Demandes sur 18 Mois</w:t>
      </w:r>
    </w:p>
    <w:p>
      <w:r>
        <w:t>• Terminologie : Le terme « Prélèvement » est rigoureusement appliqué partout.</w:t>
        <w:br/>
        <w:t>• Bordereaux : Traitement mensuel automatisé avec réconciliation comptable en 1 clic.</w:t>
        <w:br/>
        <w:t>• Demandes de prêt : Intègrent la zone d'écrit formel motivé, le téléversement de pièces justificatives (PDF/Image) et un filtre de suivi sur 18 mois.</w:t>
      </w:r>
    </w:p>
    <w:sectPr w:rsidR="00FC693F" w:rsidRPr="0006063C" w:rsidSect="00034616">
      <w:footerReference w:type="default" r:id="rId9"/>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94A3B8"/>
        <w:sz w:val="17"/>
      </w:rPr>
      <w:t>COOPECTAT ASECNA TOGO • Système Core Banking Banolia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